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891" w:firstLineChars="800"/>
        <w:rPr>
          <w:rFonts w:hint="eastAsia" w:ascii="宋体" w:hAnsi="宋体"/>
          <w:b/>
          <w:bCs/>
          <w:sz w:val="36"/>
          <w:szCs w:val="28"/>
          <w:lang w:val="en-US" w:eastAsia="zh-CN"/>
        </w:rPr>
      </w:pPr>
      <w:r>
        <w:rPr>
          <w:rFonts w:hint="eastAsia" w:ascii="宋体" w:hAnsi="宋体"/>
          <w:b/>
          <w:bCs/>
          <w:sz w:val="36"/>
          <w:szCs w:val="28"/>
          <w:lang w:val="en-US" w:eastAsia="zh-CN"/>
        </w:rPr>
        <w:t>倒置荧光显微镜</w:t>
      </w:r>
    </w:p>
    <w:p>
      <w:pPr>
        <w:ind w:firstLine="3253" w:firstLineChars="900"/>
        <w:rPr>
          <w:rFonts w:hint="default" w:ascii="宋体" w:hAnsi="宋体"/>
          <w:b/>
          <w:bCs/>
          <w:sz w:val="36"/>
          <w:szCs w:val="28"/>
          <w:lang w:val="en-US" w:eastAsia="zh-CN"/>
        </w:rPr>
      </w:pPr>
    </w:p>
    <w:p>
      <w:pPr>
        <w:spacing w:line="360" w:lineRule="auto"/>
        <w:jc w:val="center"/>
        <w:rPr>
          <w:rFonts w:hint="default" w:ascii="宋体" w:hAnsi="宋体" w:eastAsia="宋体"/>
          <w:b/>
          <w:bCs/>
          <w:sz w:val="36"/>
          <w:szCs w:val="28"/>
          <w:lang w:val="en-US" w:eastAsia="zh-CN"/>
        </w:rPr>
      </w:pPr>
      <w:r>
        <w:rPr>
          <w:rFonts w:hint="eastAsia" w:ascii="宋体" w:hAnsi="宋体"/>
          <w:b/>
          <w:bCs/>
          <w:sz w:val="36"/>
          <w:szCs w:val="28"/>
          <w:lang w:val="en-US" w:eastAsia="zh-CN"/>
        </w:rPr>
        <w:t xml:space="preserve"> </w:t>
      </w:r>
      <w:r>
        <w:rPr>
          <w:rFonts w:hint="eastAsia" w:ascii="宋体" w:hAnsi="宋体"/>
          <w:b/>
          <w:bCs/>
          <w:sz w:val="36"/>
          <w:szCs w:val="28"/>
        </w:rPr>
        <w:t xml:space="preserve">采购编号： </w:t>
      </w:r>
      <w:r>
        <w:rPr>
          <w:rFonts w:hint="eastAsia" w:ascii="宋体" w:hAnsi="宋体"/>
          <w:b/>
          <w:sz w:val="36"/>
          <w:szCs w:val="36"/>
        </w:rPr>
        <w:t>JGTP2020-0</w:t>
      </w:r>
      <w:r>
        <w:rPr>
          <w:rFonts w:hint="eastAsia" w:ascii="宋体" w:hAnsi="宋体"/>
          <w:b/>
          <w:sz w:val="36"/>
          <w:szCs w:val="36"/>
          <w:lang w:val="en-US" w:eastAsia="zh-CN"/>
        </w:rPr>
        <w:t>21</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2020</w:t>
      </w:r>
      <w:r>
        <w:rPr>
          <w:rFonts w:hint="eastAsia" w:ascii="宋体" w:hAnsi="宋体"/>
          <w:b/>
          <w:bCs/>
          <w:sz w:val="28"/>
          <w:szCs w:val="28"/>
        </w:rPr>
        <w:t>年11月</w:t>
      </w:r>
      <w:r>
        <w:rPr>
          <w:rFonts w:hint="eastAsia" w:ascii="宋体" w:hAnsi="宋体"/>
          <w:b/>
          <w:bCs/>
          <w:sz w:val="28"/>
          <w:szCs w:val="28"/>
          <w:lang w:val="en-US" w:eastAsia="zh-CN"/>
        </w:rPr>
        <w:t>25</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倒置荧光显微镜</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采购编号：JGTP2020-0</w:t>
      </w:r>
      <w:r>
        <w:rPr>
          <w:rFonts w:hint="eastAsia" w:ascii="宋体" w:hAnsi="宋体"/>
          <w:sz w:val="28"/>
          <w:szCs w:val="28"/>
          <w:lang w:val="en-US" w:eastAsia="zh-CN"/>
        </w:rPr>
        <w:t>21</w:t>
      </w:r>
    </w:p>
    <w:p>
      <w:pPr>
        <w:numPr>
          <w:ilvl w:val="0"/>
          <w:numId w:val="2"/>
        </w:numPr>
        <w:spacing w:line="360" w:lineRule="auto"/>
        <w:rPr>
          <w:rFonts w:ascii="宋体"/>
          <w:sz w:val="28"/>
          <w:szCs w:val="28"/>
        </w:rPr>
      </w:pPr>
      <w:r>
        <w:rPr>
          <w:rFonts w:hint="eastAsia" w:ascii="宋体" w:hAnsi="宋体"/>
          <w:sz w:val="28"/>
          <w:szCs w:val="28"/>
        </w:rPr>
        <w:t>采购项目：倒置荧光显微镜</w:t>
      </w:r>
    </w:p>
    <w:p>
      <w:pPr>
        <w:numPr>
          <w:ilvl w:val="0"/>
          <w:numId w:val="2"/>
        </w:numPr>
        <w:spacing w:line="360" w:lineRule="auto"/>
        <w:rPr>
          <w:rFonts w:ascii="宋体"/>
          <w:sz w:val="28"/>
          <w:szCs w:val="28"/>
        </w:rPr>
      </w:pPr>
      <w:r>
        <w:rPr>
          <w:rFonts w:hint="eastAsia" w:ascii="宋体" w:hAnsi="宋体"/>
          <w:sz w:val="28"/>
          <w:szCs w:val="28"/>
          <w:highlight w:val="none"/>
        </w:rPr>
        <w:t>采购预算：本项目预算人民币</w:t>
      </w:r>
      <w:r>
        <w:rPr>
          <w:rFonts w:hint="eastAsia" w:ascii="宋体" w:hAnsi="宋体"/>
          <w:sz w:val="28"/>
          <w:szCs w:val="28"/>
          <w:highlight w:val="none"/>
          <w:lang w:val="en-US" w:eastAsia="zh-CN"/>
        </w:rPr>
        <w:t>724000</w:t>
      </w:r>
      <w:r>
        <w:rPr>
          <w:rFonts w:hint="eastAsia" w:ascii="宋体" w:hAnsi="宋体"/>
          <w:sz w:val="28"/>
          <w:szCs w:val="28"/>
          <w:highlight w:val="none"/>
        </w:rPr>
        <w:t>元（最高</w:t>
      </w:r>
      <w:r>
        <w:rPr>
          <w:rFonts w:hint="eastAsia" w:ascii="宋体" w:hAnsi="宋体"/>
          <w:sz w:val="28"/>
          <w:szCs w:val="28"/>
        </w:rPr>
        <w:t>控制价，需预留空间予用户支付报关报检及外贸代理等相关费用）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2020</w:t>
      </w:r>
      <w:r>
        <w:rPr>
          <w:rFonts w:hint="eastAsia" w:ascii="宋体" w:hAnsi="宋体"/>
          <w:b/>
          <w:sz w:val="28"/>
          <w:szCs w:val="28"/>
        </w:rPr>
        <w:t>年1</w:t>
      </w:r>
      <w:r>
        <w:rPr>
          <w:rFonts w:hint="eastAsia" w:ascii="宋体" w:hAnsi="宋体"/>
          <w:b/>
          <w:sz w:val="28"/>
          <w:szCs w:val="28"/>
          <w:lang w:val="en-US" w:eastAsia="zh-CN"/>
        </w:rPr>
        <w:t>2</w:t>
      </w:r>
      <w:r>
        <w:rPr>
          <w:rFonts w:hint="eastAsia" w:ascii="宋体" w:hAnsi="宋体"/>
          <w:b/>
          <w:sz w:val="28"/>
          <w:szCs w:val="28"/>
        </w:rPr>
        <w:t>月</w:t>
      </w:r>
      <w:r>
        <w:rPr>
          <w:rFonts w:hint="eastAsia" w:ascii="宋体" w:hAnsi="宋体"/>
          <w:b/>
          <w:sz w:val="28"/>
          <w:szCs w:val="28"/>
          <w:lang w:val="en-US" w:eastAsia="zh-CN"/>
        </w:rPr>
        <w:t>3</w:t>
      </w:r>
      <w:r>
        <w:rPr>
          <w:rFonts w:hint="eastAsia" w:ascii="宋体" w:hAnsi="宋体"/>
          <w:b/>
          <w:sz w:val="28"/>
          <w:szCs w:val="28"/>
        </w:rPr>
        <w:t>日</w:t>
      </w:r>
      <w:r>
        <w:rPr>
          <w:rFonts w:hint="eastAsia" w:ascii="宋体" w:hAnsi="宋体"/>
          <w:b/>
          <w:sz w:val="28"/>
          <w:szCs w:val="28"/>
          <w:lang w:val="en-US" w:eastAsia="zh-CN"/>
        </w:rPr>
        <w:t>上</w:t>
      </w:r>
      <w:r>
        <w:rPr>
          <w:rFonts w:hint="eastAsia" w:ascii="宋体" w:hAnsi="宋体"/>
          <w:b/>
          <w:sz w:val="28"/>
          <w:szCs w:val="28"/>
        </w:rPr>
        <w:t>午</w:t>
      </w:r>
      <w:r>
        <w:rPr>
          <w:rFonts w:hint="eastAsia" w:ascii="宋体" w:hAnsi="宋体"/>
          <w:b/>
          <w:sz w:val="28"/>
          <w:szCs w:val="28"/>
          <w:lang w:val="en-US" w:eastAsia="zh-CN"/>
        </w:rPr>
        <w:t>10</w:t>
      </w:r>
      <w:r>
        <w:rPr>
          <w:rFonts w:hint="eastAsia" w:ascii="宋体" w:hAnsi="宋体"/>
          <w:b/>
          <w:sz w:val="28"/>
          <w:szCs w:val="28"/>
        </w:rPr>
        <w:t>：</w:t>
      </w:r>
      <w:r>
        <w:rPr>
          <w:rFonts w:hint="eastAsia" w:ascii="宋体" w:hAnsi="宋体"/>
          <w:b/>
          <w:sz w:val="28"/>
          <w:szCs w:val="28"/>
          <w:lang w:val="en-US" w:eastAsia="zh-CN"/>
        </w:rPr>
        <w:t>30</w:t>
      </w:r>
    </w:p>
    <w:p>
      <w:pPr>
        <w:numPr>
          <w:ilvl w:val="0"/>
          <w:numId w:val="2"/>
        </w:numPr>
        <w:spacing w:after="100" w:afterAutospacing="1" w:line="360" w:lineRule="auto"/>
        <w:rPr>
          <w:rFonts w:ascii="宋体"/>
          <w:sz w:val="28"/>
          <w:szCs w:val="28"/>
        </w:rPr>
      </w:pPr>
      <w:r>
        <w:rPr>
          <w:rFonts w:hint="eastAsia" w:ascii="宋体" w:hAnsi="宋体"/>
          <w:sz w:val="28"/>
          <w:szCs w:val="28"/>
        </w:rPr>
        <w:t>报名及磋商文件发售截至时间：报价人必须在</w:t>
      </w:r>
      <w:r>
        <w:rPr>
          <w:rFonts w:ascii="宋体" w:hAnsi="宋体"/>
          <w:sz w:val="28"/>
          <w:szCs w:val="28"/>
        </w:rPr>
        <w:t>2020</w:t>
      </w:r>
      <w:r>
        <w:rPr>
          <w:rFonts w:hint="eastAsia" w:ascii="宋体" w:hAnsi="宋体"/>
          <w:sz w:val="28"/>
          <w:szCs w:val="28"/>
        </w:rPr>
        <w:t>年1</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日下午15点前（节假日除外），以邮件方式进行报名（详见附件报名函），逾期视为放弃竞标机会。</w:t>
      </w:r>
    </w:p>
    <w:p>
      <w:pPr>
        <w:numPr>
          <w:ilvl w:val="0"/>
          <w:numId w:val="2"/>
        </w:numPr>
        <w:spacing w:line="560" w:lineRule="exact"/>
        <w:rPr>
          <w:rFonts w:ascii="宋体" w:hAnsi="宋体"/>
          <w:sz w:val="28"/>
          <w:szCs w:val="28"/>
        </w:rPr>
      </w:pPr>
      <w:r>
        <w:rPr>
          <w:rFonts w:hint="eastAsia" w:ascii="宋体" w:hAnsi="宋体"/>
          <w:sz w:val="28"/>
          <w:szCs w:val="28"/>
        </w:rPr>
        <w:t>开标地点：厦门市思明南路422号厦门大学颂恩楼615室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olor w:val="000000"/>
          <w:sz w:val="28"/>
          <w:szCs w:val="28"/>
          <w:shd w:val="clear" w:color="auto" w:fill="FFFFFF"/>
        </w:rPr>
      </w:pPr>
      <w:r>
        <w:rPr>
          <w:rFonts w:hint="eastAsia" w:ascii="宋体" w:hAnsi="宋体"/>
          <w:sz w:val="28"/>
          <w:szCs w:val="28"/>
        </w:rPr>
        <w:t xml:space="preserve">技术需求方面请联系用户单位：朱老师 </w:t>
      </w:r>
      <w:r>
        <w:rPr>
          <w:rFonts w:ascii="宋体" w:hAnsi="宋体"/>
          <w:sz w:val="28"/>
          <w:szCs w:val="28"/>
        </w:rPr>
        <w:t>0592-2882510</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hint="default" w:ascii="宋体" w:hAnsi="宋体" w:eastAsia="宋体"/>
          <w:sz w:val="28"/>
          <w:szCs w:val="28"/>
          <w:lang w:val="en-US" w:eastAsia="zh-CN"/>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r>
        <w:rPr>
          <w:rFonts w:hint="eastAsia" w:ascii="宋体" w:hAnsi="宋体"/>
          <w:sz w:val="28"/>
          <w:szCs w:val="28"/>
          <w:lang w:val="en-US" w:eastAsia="zh-CN"/>
        </w:rPr>
        <w:t xml:space="preserve">  0597-2882502</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2020</w:t>
      </w:r>
      <w:r>
        <w:rPr>
          <w:rFonts w:hint="eastAsia" w:ascii="宋体" w:hAnsi="宋体"/>
          <w:sz w:val="28"/>
          <w:szCs w:val="28"/>
        </w:rPr>
        <w:t>年11月</w:t>
      </w:r>
      <w:r>
        <w:rPr>
          <w:rFonts w:hint="eastAsia" w:ascii="宋体" w:hAnsi="宋体"/>
          <w:sz w:val="28"/>
          <w:szCs w:val="28"/>
          <w:lang w:val="en-US" w:eastAsia="zh-CN"/>
        </w:rPr>
        <w:t>25</w:t>
      </w:r>
      <w:bookmarkStart w:id="13" w:name="_GoBack"/>
      <w:bookmarkEnd w:id="13"/>
      <w:r>
        <w:rPr>
          <w:rFonts w:hint="eastAsia" w:ascii="宋体" w:hAnsi="宋体"/>
          <w:sz w:val="28"/>
          <w:szCs w:val="28"/>
        </w:rPr>
        <w:t>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8"/>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6"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shd w:val="clear" w:color="000000" w:fill="FFFFFF"/>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倒置荧光显微镜</w:t>
            </w:r>
          </w:p>
        </w:tc>
        <w:tc>
          <w:tcPr>
            <w:tcW w:w="567" w:type="dxa"/>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6351" w:type="dxa"/>
            <w:shd w:val="clear" w:color="000000" w:fill="FFFFFF"/>
            <w:vAlign w:val="center"/>
          </w:tcPr>
          <w:p>
            <w:pPr>
              <w:spacing w:line="360" w:lineRule="auto"/>
              <w:rPr>
                <w:rFonts w:hint="default" w:ascii="宋体" w:hAnsi="宋体" w:eastAsia="宋体" w:cs="宋体"/>
                <w:sz w:val="24"/>
                <w:szCs w:val="24"/>
                <w:lang w:val="en-US" w:eastAsia="zh-CN"/>
              </w:rPr>
            </w:pPr>
            <w:r>
              <w:rPr>
                <w:rFonts w:hint="eastAsia" w:ascii="宋体" w:hAnsi="宋体" w:cs="宋体"/>
                <w:sz w:val="24"/>
                <w:szCs w:val="24"/>
                <w:lang w:val="en-US" w:eastAsia="zh-CN"/>
              </w:rPr>
              <w:t>详情请见附件。</w:t>
            </w:r>
          </w:p>
        </w:tc>
      </w:tr>
    </w:tbl>
    <w:p>
      <w:pPr>
        <w:spacing w:line="300" w:lineRule="exact"/>
        <w:rPr>
          <w:b/>
          <w:bCs/>
          <w:sz w:val="28"/>
        </w:rPr>
      </w:pPr>
      <w:r>
        <w:rPr>
          <w:rFonts w:hint="eastAsia" w:ascii="宋体" w:hAnsi="宋体" w:eastAsia="宋体" w:cs="宋体"/>
          <w:b/>
          <w:bCs/>
          <w:color w:val="0000FF"/>
          <w:sz w:val="24"/>
          <w:szCs w:val="24"/>
        </w:rPr>
        <w:t>注：以上技术指标为参考基本指标，各投标方可根据</w:t>
      </w:r>
      <w:r>
        <w:rPr>
          <w:rFonts w:hint="eastAsia" w:ascii="黑体" w:hAnsi="华文仿宋"/>
          <w:b/>
          <w:bCs/>
          <w:color w:val="0000FF"/>
          <w:szCs w:val="21"/>
        </w:rPr>
        <w:t>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w:t>
      </w:r>
      <w:r>
        <w:rPr>
          <w:rFonts w:hint="eastAsia" w:ascii="Arial" w:hAnsi="宋体" w:cs="Arial"/>
          <w:sz w:val="24"/>
          <w:szCs w:val="21"/>
          <w:lang w:val="en-US" w:eastAsia="zh-CN"/>
        </w:rPr>
        <w:t>3</w:t>
      </w:r>
      <w:r>
        <w:rPr>
          <w:rFonts w:hint="eastAsia" w:ascii="Arial" w:hAnsi="宋体" w:cs="Arial"/>
          <w:sz w:val="24"/>
          <w:szCs w:val="21"/>
        </w:rPr>
        <w:t>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w:t>
      </w:r>
      <w:r>
        <w:rPr>
          <w:rFonts w:hint="eastAsia" w:ascii="Arial" w:hAnsi="宋体" w:cs="Arial"/>
          <w:sz w:val="24"/>
          <w:szCs w:val="21"/>
          <w:lang w:val="en-US" w:eastAsia="zh-CN"/>
        </w:rPr>
        <w:t>在中标公示后，</w:t>
      </w:r>
      <w:r>
        <w:rPr>
          <w:rFonts w:hint="eastAsia" w:ascii="Arial" w:hAnsi="宋体" w:cs="Arial"/>
          <w:sz w:val="24"/>
          <w:szCs w:val="21"/>
        </w:rPr>
        <w:t>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w:t>
      </w:r>
      <w:r>
        <w:rPr>
          <w:rFonts w:hint="eastAsia" w:ascii="Arial" w:hAnsi="宋体" w:cs="Arial"/>
          <w:sz w:val="24"/>
          <w:szCs w:val="21"/>
          <w:lang w:val="en-US" w:eastAsia="zh-CN"/>
        </w:rPr>
        <w:t>在中标公示后，</w:t>
      </w:r>
      <w:r>
        <w:rPr>
          <w:rFonts w:hint="eastAsia" w:ascii="Arial" w:hAnsi="宋体" w:cs="Arial"/>
          <w:sz w:val="24"/>
          <w:szCs w:val="21"/>
        </w:rPr>
        <w:t>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highlight w:val="none"/>
        </w:rPr>
      </w:pPr>
      <w:r>
        <w:rPr>
          <w:rFonts w:hint="eastAsia"/>
          <w:sz w:val="24"/>
          <w:highlight w:val="none"/>
        </w:rPr>
        <w:t>从中华人民共和国境外提供的货物：</w:t>
      </w:r>
      <w:r>
        <w:rPr>
          <w:rFonts w:hint="eastAsia"/>
          <w:color w:val="000000"/>
          <w:sz w:val="24"/>
          <w:highlight w:val="none"/>
        </w:rPr>
        <w:t>100%不可撤销信用证，</w:t>
      </w:r>
      <w:r>
        <w:rPr>
          <w:rFonts w:hint="eastAsia"/>
          <w:color w:val="000000"/>
          <w:sz w:val="24"/>
          <w:highlight w:val="none"/>
          <w:lang w:val="en-US" w:eastAsia="zh-CN"/>
        </w:rPr>
        <w:t>80</w:t>
      </w:r>
      <w:r>
        <w:rPr>
          <w:rFonts w:hint="eastAsia"/>
          <w:color w:val="000000"/>
          <w:sz w:val="24"/>
          <w:highlight w:val="none"/>
        </w:rPr>
        <w:t>%见单即付，</w:t>
      </w:r>
      <w:r>
        <w:rPr>
          <w:rFonts w:hint="eastAsia"/>
          <w:color w:val="000000"/>
          <w:sz w:val="24"/>
          <w:highlight w:val="none"/>
          <w:lang w:val="en-US" w:eastAsia="zh-CN"/>
        </w:rPr>
        <w:t>20</w:t>
      </w:r>
      <w:r>
        <w:rPr>
          <w:rFonts w:hint="eastAsia"/>
          <w:color w:val="000000"/>
          <w:sz w:val="24"/>
          <w:highlight w:val="none"/>
        </w:rPr>
        <w:t>%验收合格后付。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0"/>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0"/>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9"/>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9"/>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9"/>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w:t>
      </w:r>
      <w:r>
        <w:rPr>
          <w:rFonts w:hint="eastAsia" w:ascii="宋体" w:hAnsi="宋体"/>
          <w:sz w:val="24"/>
          <w:lang w:val="en-US" w:eastAsia="zh-CN"/>
        </w:rPr>
        <w:t>叁</w:t>
      </w:r>
      <w:r>
        <w:rPr>
          <w:rFonts w:hint="eastAsia" w:ascii="宋体" w:hAnsi="宋体"/>
          <w:sz w:val="24"/>
        </w:rPr>
        <w:t>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w:t>
      </w:r>
      <w:r>
        <w:rPr>
          <w:rFonts w:ascii="宋体" w:hAnsi="宋体"/>
          <w:sz w:val="24"/>
        </w:rPr>
        <w:t>5</w:t>
      </w:r>
      <w:r>
        <w:rPr>
          <w:rFonts w:hint="eastAsia" w:ascii="宋体" w:hAnsi="宋体"/>
          <w:sz w:val="24"/>
        </w:rPr>
        <w:t>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3120"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55168"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7216"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sz w:val="24"/>
        </w:rPr>
      </w:pPr>
      <w:r>
        <w:rPr>
          <w:rFonts w:hint="eastAsia" w:ascii="宋体" w:hAnsi="宋体"/>
          <w:sz w:val="24"/>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u w:val="single"/>
        </w:rPr>
        <w:t xml:space="preserve">合同包：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Cs w:val="21"/>
              </w:rPr>
            </w:pPr>
            <w:r>
              <w:rPr>
                <w:rFonts w:hint="eastAsia" w:ascii="宋体" w:hAnsi="宋体"/>
                <w:szCs w:val="21"/>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rPr>
      </w:pPr>
    </w:p>
    <w:p>
      <w:pPr>
        <w:pStyle w:val="6"/>
        <w:tabs>
          <w:tab w:val="left" w:pos="0"/>
          <w:tab w:val="left" w:pos="735"/>
        </w:tabs>
        <w:spacing w:line="360" w:lineRule="auto"/>
      </w:pPr>
    </w:p>
    <w:p>
      <w:pPr>
        <w:pStyle w:val="6"/>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6"/>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558" w:firstLineChars="1271"/>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6"/>
        <w:tabs>
          <w:tab w:val="left" w:pos="0"/>
          <w:tab w:val="left" w:pos="735"/>
        </w:tabs>
        <w:spacing w:line="360" w:lineRule="auto"/>
        <w:rPr>
          <w:u w:val="single"/>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550797"/>
      <w:bookmarkStart w:id="1" w:name="_Toc323741898"/>
      <w:bookmarkStart w:id="2" w:name="_Toc238290496"/>
      <w:bookmarkStart w:id="3" w:name="_Toc184176484"/>
      <w:bookmarkStart w:id="4" w:name="_Toc256416592"/>
      <w:r>
        <w:rPr>
          <w:rFonts w:hint="eastAsia"/>
          <w:sz w:val="24"/>
        </w:rPr>
        <w:t>附：被授权人身份证件</w:t>
      </w:r>
    </w:p>
    <w:p>
      <w:pPr>
        <w:pStyle w:val="23"/>
        <w:rPr>
          <w:rFonts w:hAnsi="宋体"/>
          <w:sz w:val="32"/>
        </w:rPr>
      </w:pPr>
      <w:r>
        <w:rPr>
          <w:sz w:val="32"/>
        </w:rPr>
        <mc:AlternateContent>
          <mc:Choice Requires="wps">
            <w:drawing>
              <wp:anchor distT="0" distB="0" distL="114300" distR="114300" simplePos="0" relativeHeight="251662336"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2336;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iNktkAAAAK&#10;AQAADwAAAAAAAAABACAAAAAiAAAAZHJzL2Rvd25yZXYueG1sUEsBAhQAFAAAAAgAh07iQLvGI5Hi&#10;AQAA6QMAAA4AAAAAAAAAAQAgAAAAKAEAAGRycy9lMm9Eb2MueG1sUEsFBgAAAAAGAAYAWQEAAHwF&#10;A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3"/>
              <w:rPr>
                <w:sz w:val="32"/>
              </w:rPr>
            </w:pPr>
            <w:bookmarkStart w:id="5" w:name="_Toc418491550"/>
            <w:bookmarkStart w:id="6" w:name="_Toc433037128"/>
            <w:bookmarkStart w:id="7" w:name="_Toc415124366"/>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3"/>
              <w:rPr>
                <w:sz w:val="32"/>
              </w:rPr>
            </w:pPr>
            <w:bookmarkStart w:id="9" w:name="_Toc433037129"/>
            <w:bookmarkStart w:id="10" w:name="_Toc418491551"/>
            <w:bookmarkStart w:id="11" w:name="_Toc415124367"/>
            <w:bookmarkStart w:id="12" w:name="_Toc41512419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1"/>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用户代表人所在单位签章：</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spacing w:line="360" w:lineRule="auto"/>
        <w:ind w:firstLine="3360" w:firstLineChars="1400"/>
        <w:rPr>
          <w:sz w:val="24"/>
        </w:rPr>
      </w:pPr>
    </w:p>
    <w:p>
      <w:pPr>
        <w:spacing w:line="360" w:lineRule="auto"/>
        <w:jc w:val="left"/>
        <w:rPr>
          <w:rFonts w:hint="eastAsia"/>
          <w:sz w:val="24"/>
          <w:lang w:val="en-US" w:eastAsia="zh-CN"/>
        </w:rPr>
      </w:pPr>
      <w:r>
        <w:rPr>
          <w:rFonts w:hint="eastAsia"/>
          <w:sz w:val="24"/>
          <w:lang w:val="en-US" w:eastAsia="zh-CN"/>
        </w:rPr>
        <w:t>附件一：倒置荧光显微镜招标参数要求：</w:t>
      </w:r>
    </w:p>
    <w:p>
      <w:pPr>
        <w:pStyle w:val="21"/>
        <w:numPr>
          <w:ilvl w:val="0"/>
          <w:numId w:val="11"/>
        </w:numPr>
        <w:ind w:firstLineChars="0"/>
        <w:rPr>
          <w:rFonts w:hint="eastAsia" w:ascii="宋体" w:hAnsi="宋体" w:eastAsia="宋体" w:cs="宋体"/>
          <w:b/>
          <w:sz w:val="24"/>
          <w:szCs w:val="24"/>
        </w:rPr>
      </w:pPr>
      <w:r>
        <w:rPr>
          <w:rFonts w:hint="eastAsia" w:ascii="宋体" w:hAnsi="宋体" w:eastAsia="宋体" w:cs="宋体"/>
          <w:b/>
          <w:sz w:val="24"/>
          <w:szCs w:val="24"/>
        </w:rPr>
        <w:t>仪器工作环境：</w:t>
      </w:r>
    </w:p>
    <w:p>
      <w:pPr>
        <w:rPr>
          <w:rFonts w:hint="eastAsia" w:ascii="宋体" w:hAnsi="宋体" w:eastAsia="宋体" w:cs="宋体"/>
          <w:sz w:val="24"/>
          <w:szCs w:val="24"/>
        </w:rPr>
      </w:pPr>
      <w:r>
        <w:rPr>
          <w:rFonts w:hint="eastAsia" w:ascii="宋体" w:hAnsi="宋体" w:eastAsia="宋体" w:cs="宋体"/>
          <w:sz w:val="24"/>
          <w:szCs w:val="24"/>
        </w:rPr>
        <w:t>1、环境温度：18℃～25℃"</w:t>
      </w:r>
    </w:p>
    <w:p>
      <w:pPr>
        <w:rPr>
          <w:rFonts w:hint="eastAsia" w:ascii="宋体" w:hAnsi="宋体" w:eastAsia="宋体" w:cs="宋体"/>
          <w:sz w:val="24"/>
          <w:szCs w:val="24"/>
        </w:rPr>
      </w:pPr>
      <w:r>
        <w:rPr>
          <w:rFonts w:hint="eastAsia" w:ascii="宋体" w:hAnsi="宋体" w:eastAsia="宋体" w:cs="宋体"/>
          <w:sz w:val="24"/>
          <w:szCs w:val="24"/>
        </w:rPr>
        <w:t>2、相对湿度：5-65%"</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sz w:val="24"/>
          <w:szCs w:val="24"/>
        </w:rPr>
        <w:t>3、工作电压：210~230 V、50 Hz"</w:t>
      </w:r>
    </w:p>
    <w:p>
      <w:pPr>
        <w:rPr>
          <w:rFonts w:hint="eastAsia" w:ascii="宋体" w:hAnsi="宋体" w:eastAsia="宋体" w:cs="宋体"/>
          <w:sz w:val="24"/>
          <w:szCs w:val="24"/>
        </w:rPr>
      </w:pPr>
      <w:r>
        <w:rPr>
          <w:rFonts w:hint="eastAsia" w:ascii="宋体" w:hAnsi="宋体" w:eastAsia="宋体" w:cs="宋体"/>
          <w:sz w:val="24"/>
          <w:szCs w:val="24"/>
        </w:rPr>
        <w:t>4、仪器整体要求：智能编码型全自动控制倒置荧光显微镜，功能主要包括：自动完美</w:t>
      </w:r>
      <w:r>
        <w:rPr>
          <w:rFonts w:hint="eastAsia" w:ascii="宋体" w:hAnsi="宋体" w:eastAsia="宋体" w:cs="宋体"/>
          <w:bCs/>
          <w:iCs/>
          <w:sz w:val="24"/>
          <w:szCs w:val="24"/>
          <w:lang w:val="de-DE"/>
        </w:rPr>
        <w:t>调焦、电动物镜转换、电动光源控制、电动荧光激发块转换、电动荧光光闸、电动聚光镜、电动DIC和电动</w:t>
      </w:r>
      <w:r>
        <w:rPr>
          <w:rFonts w:hint="eastAsia" w:ascii="宋体" w:hAnsi="宋体" w:eastAsia="宋体" w:cs="宋体"/>
          <w:sz w:val="24"/>
          <w:szCs w:val="24"/>
        </w:rPr>
        <w:t>全内反射系统。所有功能可通过电脑软件自动识别和电动控制。</w:t>
      </w:r>
    </w:p>
    <w:p>
      <w:pPr>
        <w:rPr>
          <w:rFonts w:hint="eastAsia" w:ascii="宋体" w:hAnsi="宋体" w:eastAsia="宋体" w:cs="宋体"/>
          <w:b/>
          <w:sz w:val="24"/>
          <w:szCs w:val="24"/>
        </w:rPr>
      </w:pPr>
      <w:r>
        <w:rPr>
          <w:rFonts w:hint="eastAsia" w:ascii="宋体" w:hAnsi="宋体" w:eastAsia="宋体" w:cs="宋体"/>
          <w:b/>
          <w:sz w:val="24"/>
          <w:szCs w:val="24"/>
        </w:rPr>
        <w:t>二、应用范围：</w:t>
      </w:r>
    </w:p>
    <w:p>
      <w:pPr>
        <w:rPr>
          <w:rFonts w:hint="eastAsia" w:ascii="宋体" w:hAnsi="宋体" w:eastAsia="宋体" w:cs="宋体"/>
          <w:sz w:val="24"/>
          <w:szCs w:val="24"/>
        </w:rPr>
      </w:pPr>
      <w:r>
        <w:rPr>
          <w:rFonts w:hint="eastAsia" w:ascii="宋体" w:hAnsi="宋体" w:eastAsia="宋体" w:cs="宋体"/>
          <w:sz w:val="24"/>
          <w:szCs w:val="24"/>
        </w:rPr>
        <w:t>适用于生物化学、材料、化工、环境、等样品中荧光成像研究。</w:t>
      </w:r>
    </w:p>
    <w:p>
      <w:pPr>
        <w:rPr>
          <w:rFonts w:hint="eastAsia" w:ascii="宋体" w:hAnsi="宋体" w:eastAsia="宋体" w:cs="宋体"/>
          <w:b/>
          <w:sz w:val="24"/>
          <w:szCs w:val="24"/>
        </w:rPr>
      </w:pPr>
      <w:r>
        <w:rPr>
          <w:rFonts w:hint="eastAsia" w:ascii="宋体" w:hAnsi="宋体" w:eastAsia="宋体" w:cs="宋体"/>
          <w:b/>
          <w:sz w:val="24"/>
          <w:szCs w:val="24"/>
        </w:rPr>
        <w:t>三、技术参数(</w:t>
      </w:r>
      <w:r>
        <w:rPr>
          <w:rFonts w:hint="eastAsia" w:ascii="宋体" w:hAnsi="宋体" w:eastAsia="宋体" w:cs="宋体"/>
          <w:b/>
          <w:bCs/>
          <w:sz w:val="24"/>
          <w:szCs w:val="24"/>
        </w:rPr>
        <w:t>标注</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sz w:val="24"/>
          <w:szCs w:val="24"/>
        </w:rPr>
        <w:t>号为必须满足条款，▲为重要指标)</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1、主机：</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1.1、光学系统：无限远光学系统</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1.2、照相视野：FOV22~25，</w:t>
      </w:r>
      <w:r>
        <w:rPr>
          <w:rFonts w:hint="eastAsia" w:ascii="宋体" w:hAnsi="宋体" w:eastAsia="宋体" w:cs="宋体"/>
          <w:sz w:val="24"/>
          <w:szCs w:val="24"/>
        </w:rPr>
        <w:t>大尺寸镜筒镜设计，端口图像输出视场数不小于25mm</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1.3、辅助放大倍率：1X/1.5X</w:t>
      </w:r>
      <w:r>
        <w:rPr>
          <w:rFonts w:hint="eastAsia" w:ascii="宋体" w:hAnsi="宋体" w:eastAsia="宋体" w:cs="宋体"/>
          <w:sz w:val="24"/>
          <w:szCs w:val="24"/>
        </w:rPr>
        <w:t>可置换成1.5X/2X</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1.4、勃特兰辅助透镜：内置，可移出/入光路</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1.5、成像光路：100%左端照相；100%右端照相；80%左端照相，三种模式电动切换</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1.6、聚焦机构：凸轮连杆传动，电动聚焦，粗微调切换，最小步距10nm，</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行程10mm；</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1.7、电动操作设计：电动物镜转换控制、光亮度控制、聚光器控制、荧光滤色镜控制、荧光通道光闸控制、光路转换控制、完美对焦控制、扫描平台控制；</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1.8、双层光路设计：支持双层荧光照明光路扩展；</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2、明场成像组件：</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2.1、透射照明装置：可后仰25度的照明立杆，高亮度LED照明光源，带行程为66mm的聚光器支座，聚光器支座可垂直调节、带制动限位功能</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2.2、聚光器：七工位电动聚光器转盘，聚光镜NA值不低于0.5；</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2.3、明场微分干涉组件：包括电动切换的偏振光照明组件，物镜与聚光器一一对应的微分干涉棱镜；</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3、荧光成像组件：</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3.1、荧光转盘：电动六工位双向转换控制；</w:t>
      </w:r>
      <w:r>
        <w:rPr>
          <w:rFonts w:hint="eastAsia" w:ascii="宋体" w:hAnsi="宋体" w:eastAsia="宋体" w:cs="宋体"/>
          <w:sz w:val="24"/>
          <w:szCs w:val="24"/>
        </w:rPr>
        <w:t>内置“消杂光”势阱和</w:t>
      </w:r>
      <w:r>
        <w:rPr>
          <w:rFonts w:hint="eastAsia" w:ascii="宋体" w:hAnsi="宋体" w:eastAsia="宋体" w:cs="宋体"/>
          <w:color w:val="000000" w:themeColor="text1"/>
          <w:sz w:val="24"/>
          <w:szCs w:val="24"/>
          <w14:textFill>
            <w14:solidFill>
              <w14:schemeClr w14:val="tx1"/>
            </w14:solidFill>
          </w14:textFill>
        </w:rPr>
        <w:t>电动光闸控制，开关时间≤12ms；</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3.2、荧光照明光路：双分支荧光照明光源输入光路，两个光路可通过软件控制进行电动切换；</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3.3、荧光照明光源：光纤输入接口，固态长寿命荧光光源，可通过软件自动执行开关，不使用时可自动关机；</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3.4、双层荧光转盘：一层放置宽场及全内反射荧光滤色镜，另一层放置激光操作导入专用滤色镜；</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4、▲电动扫描台：行程X: ±57mm, Y: ±36.5mm, 最快移动速度25mm/sec,样品适配器磁性接口; 一体式XYZ操作手柄/旋钮；</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sz w:val="24"/>
          <w:szCs w:val="24"/>
        </w:rPr>
        <w:t>自动TIRF调节专用成像装置：具有独立的显微镜光路监控装置，可以对TIRF光路进行照相和直观的交互式操作，方便取得和记忆相关数据；</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6、★物镜转换器：电动六位物镜转换设计，带防水装置；带完美对焦机构，内置870nm近红外光源线阵检测器，可实时驱动物镜聚焦校正，确保长时间聚焦精准；</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7、物镜：</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7.1、10倍平场半复消色差物镜：NA≥0.3</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7.2、60平场复消色物镜：NA≥0.5-1.25油镜</w:t>
      </w:r>
    </w:p>
    <w:p>
      <w:pPr>
        <w:spacing w:line="400" w:lineRule="exact"/>
        <w:ind w:left="424" w:left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7.3、100倍平场复消色差TIRF物镜：NA≥1.49，油镜，高透过率，适用高功率激光照明，带自动校正环：通过谐波驱动和自动校正算法自动调节校正环，简便而精确地补偿样品温度的变化、盖玻片厚度偏差和折射率偏差；</w:t>
      </w:r>
    </w:p>
    <w:p>
      <w:pPr>
        <w:rPr>
          <w:rFonts w:hint="eastAsia" w:ascii="宋体" w:hAnsi="宋体" w:eastAsia="宋体" w:cs="宋体"/>
          <w:sz w:val="24"/>
          <w:szCs w:val="24"/>
        </w:rPr>
      </w:pPr>
      <w:r>
        <w:rPr>
          <w:rFonts w:hint="eastAsia" w:ascii="宋体" w:hAnsi="宋体" w:eastAsia="宋体" w:cs="宋体"/>
          <w:sz w:val="24"/>
          <w:szCs w:val="24"/>
        </w:rPr>
        <w:t>8、工作站及软件系统：</w:t>
      </w:r>
    </w:p>
    <w:p>
      <w:pPr>
        <w:ind w:left="480" w:hanging="480" w:hangingChars="200"/>
        <w:rPr>
          <w:rFonts w:hint="eastAsia" w:ascii="宋体" w:hAnsi="宋体" w:eastAsia="宋体" w:cs="宋体"/>
          <w:sz w:val="24"/>
          <w:szCs w:val="24"/>
        </w:rPr>
      </w:pPr>
      <w:r>
        <w:rPr>
          <w:rFonts w:hint="eastAsia" w:ascii="宋体" w:hAnsi="宋体" w:eastAsia="宋体" w:cs="宋体"/>
          <w:sz w:val="24"/>
          <w:szCs w:val="24"/>
        </w:rPr>
        <w:t xml:space="preserve">    8.1、戴尔(DELL)Precision工作站台式电脑：主机 i9-10900K/32G内存/1T固态 4T RTX2080-8G显卡，DELL27英寸 2K电脑显示器 。</w:t>
      </w:r>
    </w:p>
    <w:p>
      <w:pPr>
        <w:ind w:left="420" w:leftChars="200"/>
        <w:rPr>
          <w:rFonts w:hint="eastAsia" w:ascii="宋体" w:hAnsi="宋体" w:eastAsia="宋体" w:cs="宋体"/>
          <w:sz w:val="24"/>
          <w:szCs w:val="24"/>
        </w:rPr>
      </w:pPr>
      <w:r>
        <w:rPr>
          <w:rFonts w:hint="eastAsia" w:ascii="宋体" w:hAnsi="宋体" w:eastAsia="宋体" w:cs="宋体"/>
          <w:sz w:val="24"/>
          <w:szCs w:val="24"/>
        </w:rPr>
        <w:t>8.2、硬件控制：电动显微镜组件、激光器、扫描系统、检测系统、宽场相机，目视显微观察和TIRF照相这两种状态之间可实现一键式切换。</w:t>
      </w:r>
    </w:p>
    <w:p>
      <w:pPr>
        <w:ind w:left="420" w:leftChars="200"/>
        <w:rPr>
          <w:rFonts w:hint="eastAsia" w:ascii="宋体" w:hAnsi="宋体" w:eastAsia="宋体" w:cs="宋体"/>
          <w:sz w:val="24"/>
          <w:szCs w:val="24"/>
        </w:rPr>
      </w:pPr>
      <w:r>
        <w:rPr>
          <w:rFonts w:hint="eastAsia" w:ascii="宋体" w:hAnsi="宋体" w:eastAsia="宋体" w:cs="宋体"/>
          <w:sz w:val="24"/>
          <w:szCs w:val="24"/>
        </w:rPr>
        <w:t>★ 8.3、自检功能：可一键自动检测光路设定的错误与否，并显示出现错误设置的显微镜部位，避免研究者不慎的操作失误；</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8.4、具有静态图像采集、XYZ、XY-T等三维动态图像采集功能；</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8.5、具有实时荧光测量功能；</w:t>
      </w:r>
    </w:p>
    <w:p>
      <w:pPr>
        <w:spacing w:line="3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8.6、图像处理与分析</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8.7、图像及数据输出：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8.8、Snapshot功能：可将图像转换成通用的图像浏览软件识别的图像格式；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8.9、AVI、Movie文件制作：可制通用影音软件识别的电影文件；</w:t>
      </w:r>
    </w:p>
    <w:p>
      <w:pPr>
        <w:ind w:left="420" w:leftChars="200"/>
        <w:rPr>
          <w:rFonts w:hint="eastAsia" w:ascii="宋体" w:hAnsi="宋体" w:eastAsia="宋体" w:cs="宋体"/>
          <w:sz w:val="24"/>
          <w:szCs w:val="24"/>
        </w:rPr>
      </w:pPr>
      <w:r>
        <w:rPr>
          <w:rFonts w:hint="eastAsia" w:ascii="宋体" w:hAnsi="宋体" w:eastAsia="宋体" w:cs="宋体"/>
          <w:sz w:val="24"/>
          <w:szCs w:val="24"/>
        </w:rPr>
        <w:t>8.10、Montage动态报告：可输出数据表和动态图像混排格式的电影文件实验报告；</w:t>
      </w:r>
    </w:p>
    <w:p>
      <w:pPr>
        <w:ind w:left="420" w:leftChars="200"/>
        <w:rPr>
          <w:rFonts w:hint="eastAsia" w:ascii="宋体" w:hAnsi="宋体" w:eastAsia="宋体" w:cs="宋体"/>
          <w:sz w:val="24"/>
          <w:szCs w:val="24"/>
        </w:rPr>
      </w:pPr>
      <w:r>
        <w:rPr>
          <w:rFonts w:hint="eastAsia" w:ascii="宋体" w:hAnsi="宋体" w:eastAsia="宋体" w:cs="宋体"/>
          <w:sz w:val="24"/>
          <w:szCs w:val="24"/>
        </w:rPr>
        <w:t>8.11、图文报告：图像文件和分析测量数据可以由用户自定义格式输出，并直接转换成PDF文件格式；</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四、配置</w:t>
      </w:r>
    </w:p>
    <w:p>
      <w:pPr>
        <w:spacing w:line="360" w:lineRule="auto"/>
        <w:rPr>
          <w:rFonts w:hint="eastAsia" w:ascii="宋体" w:hAnsi="宋体" w:eastAsia="宋体" w:cs="宋体"/>
          <w:sz w:val="24"/>
          <w:szCs w:val="24"/>
        </w:rPr>
      </w:pPr>
      <w:r>
        <w:rPr>
          <w:rFonts w:hint="eastAsia" w:ascii="宋体" w:hAnsi="宋体" w:eastAsia="宋体" w:cs="宋体"/>
          <w:sz w:val="24"/>
          <w:szCs w:val="24"/>
        </w:rPr>
        <w:t>1、全电动倒置荧光显微镜：一套，包含：</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（1）七工位电动聚光器转盘：1套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（2）电动六孔物镜转换器：1套；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（3）电动六工位双向转换荧光转盘：2套；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（4）高亮度LED透射照明光源：1套；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（5）明场微分干涉组件：1套；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（6）双层光路组件：1套；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（7）荧光附件：1套；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（8）全内反射组件：1套；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（9）物镜：3套</w:t>
      </w:r>
    </w:p>
    <w:p>
      <w:pPr>
        <w:spacing w:line="360" w:lineRule="auto"/>
        <w:rPr>
          <w:rFonts w:hint="eastAsia" w:ascii="宋体" w:hAnsi="宋体" w:eastAsia="宋体" w:cs="宋体"/>
          <w:sz w:val="24"/>
          <w:szCs w:val="24"/>
        </w:rPr>
      </w:pPr>
      <w:r>
        <w:rPr>
          <w:rFonts w:hint="eastAsia" w:ascii="宋体" w:hAnsi="宋体" w:eastAsia="宋体" w:cs="宋体"/>
          <w:sz w:val="24"/>
          <w:szCs w:val="24"/>
        </w:rPr>
        <w:t>2、操作软件：一套；</w:t>
      </w:r>
    </w:p>
    <w:p>
      <w:pPr>
        <w:spacing w:line="360" w:lineRule="auto"/>
        <w:rPr>
          <w:rFonts w:hint="eastAsia" w:ascii="宋体" w:hAnsi="宋体" w:eastAsia="宋体" w:cs="宋体"/>
          <w:sz w:val="24"/>
          <w:szCs w:val="24"/>
        </w:rPr>
      </w:pPr>
      <w:r>
        <w:rPr>
          <w:rFonts w:hint="eastAsia" w:ascii="宋体" w:hAnsi="宋体" w:eastAsia="宋体" w:cs="宋体"/>
          <w:sz w:val="24"/>
          <w:szCs w:val="24"/>
        </w:rPr>
        <w:t>3、电脑工作站：一套；（配置）</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4、维修工具：一套</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五、技术服务</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1、技术文件（印刷版和电子版各一套)</w:t>
      </w:r>
    </w:p>
    <w:p>
      <w:pPr>
        <w:spacing w:line="360" w:lineRule="auto"/>
        <w:rPr>
          <w:rFonts w:hint="eastAsia" w:ascii="宋体" w:hAnsi="宋体" w:eastAsia="宋体" w:cs="宋体"/>
          <w:sz w:val="24"/>
          <w:szCs w:val="24"/>
        </w:rPr>
      </w:pPr>
      <w:r>
        <w:rPr>
          <w:rFonts w:hint="eastAsia" w:ascii="宋体" w:hAnsi="宋体" w:eastAsia="宋体" w:cs="宋体"/>
          <w:sz w:val="24"/>
          <w:szCs w:val="24"/>
        </w:rPr>
        <w:t>（1）仪器主机及附属设备的基本结构和使用说明书、操作手册及维修保养说明书；</w:t>
      </w:r>
    </w:p>
    <w:p>
      <w:pPr>
        <w:spacing w:line="360" w:lineRule="auto"/>
        <w:rPr>
          <w:rFonts w:hint="eastAsia" w:ascii="宋体" w:hAnsi="宋体" w:eastAsia="宋体" w:cs="宋体"/>
          <w:sz w:val="24"/>
          <w:szCs w:val="24"/>
        </w:rPr>
      </w:pPr>
      <w:r>
        <w:rPr>
          <w:rFonts w:hint="eastAsia" w:ascii="宋体" w:hAnsi="宋体" w:eastAsia="宋体" w:cs="宋体"/>
          <w:sz w:val="24"/>
          <w:szCs w:val="24"/>
        </w:rPr>
        <w:t>（2）主机和各功能部件的性能指标、基本结构和使用说明书，全套维修保养说明书；</w:t>
      </w:r>
    </w:p>
    <w:p>
      <w:pPr>
        <w:spacing w:line="360" w:lineRule="auto"/>
        <w:rPr>
          <w:rFonts w:hint="eastAsia" w:ascii="宋体" w:hAnsi="宋体" w:eastAsia="宋体" w:cs="宋体"/>
          <w:sz w:val="24"/>
          <w:szCs w:val="24"/>
        </w:rPr>
      </w:pPr>
      <w:r>
        <w:rPr>
          <w:rFonts w:hint="eastAsia" w:ascii="宋体" w:hAnsi="宋体" w:eastAsia="宋体" w:cs="宋体"/>
          <w:sz w:val="24"/>
          <w:szCs w:val="24"/>
        </w:rPr>
        <w:t>（3）软件的操作手册；</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2、安装调试和验收</w:t>
      </w:r>
    </w:p>
    <w:p>
      <w:pPr>
        <w:spacing w:line="360" w:lineRule="auto"/>
        <w:rPr>
          <w:rFonts w:hint="eastAsia" w:ascii="宋体" w:hAnsi="宋体" w:eastAsia="宋体" w:cs="宋体"/>
          <w:sz w:val="24"/>
          <w:szCs w:val="24"/>
        </w:rPr>
      </w:pPr>
      <w:r>
        <w:rPr>
          <w:rFonts w:hint="eastAsia" w:ascii="宋体" w:hAnsi="宋体" w:eastAsia="宋体" w:cs="宋体"/>
          <w:sz w:val="24"/>
          <w:szCs w:val="24"/>
        </w:rPr>
        <w:t>（1）预安装：合同正式签字生效后，卖方负责对买方的实验室进行预安装（主要包括磁场、振动测试等），同时提供仪器的安装要求和用户需要准备的安装条件和物资以及相应的技术文件，协助用户提前做好设备安装的准备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（2）设备抵达安装现场后一周内，供应商按照用户通知的日期选派经验丰富的专家负责检验和安装调试。具备验收条件后，在接到用户验收通知的两周内完成验收；</w:t>
      </w:r>
    </w:p>
    <w:p>
      <w:pPr>
        <w:spacing w:line="360" w:lineRule="auto"/>
        <w:rPr>
          <w:rFonts w:hint="eastAsia" w:ascii="宋体" w:hAnsi="宋体" w:eastAsia="宋体" w:cs="宋体"/>
          <w:sz w:val="24"/>
          <w:szCs w:val="24"/>
        </w:rPr>
      </w:pPr>
      <w:r>
        <w:rPr>
          <w:rFonts w:hint="eastAsia" w:ascii="宋体" w:hAnsi="宋体" w:eastAsia="宋体" w:cs="宋体"/>
          <w:sz w:val="24"/>
          <w:szCs w:val="24"/>
        </w:rPr>
        <w:t>（3）卖方须提供该设备出厂质量检测标准和试验方法，应及时更换在验收中指标未达到要求的部件，验收指标必须满足或优于标书的技术指标。</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3、技术培训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用户所在地对用户（至少3人）进行为期1周的培训。培训内容包括仪器的技术原理、操作、数据处理、基本维护等确保所有基本参数准确可以运用，直至用户能够独立操作、熟练掌握。若1周内培训不到位，卖方应在5个工作日内组织第二次培训。</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4、售后和保修服务</w:t>
      </w:r>
    </w:p>
    <w:p>
      <w:pPr>
        <w:spacing w:line="360" w:lineRule="auto"/>
        <w:rPr>
          <w:rFonts w:hint="eastAsia" w:ascii="宋体" w:hAnsi="宋体" w:eastAsia="宋体" w:cs="宋体"/>
          <w:sz w:val="24"/>
          <w:szCs w:val="24"/>
        </w:rPr>
      </w:pPr>
      <w:r>
        <w:rPr>
          <w:rFonts w:hint="eastAsia" w:ascii="宋体" w:hAnsi="宋体" w:eastAsia="宋体" w:cs="宋体"/>
          <w:sz w:val="24"/>
          <w:szCs w:val="24"/>
        </w:rPr>
        <w:t>（1）卖方提供整机壹年的免费保修，保修期自仪器验收签字之日起计算。</w:t>
      </w:r>
    </w:p>
    <w:p>
      <w:pPr>
        <w:spacing w:line="360" w:lineRule="auto"/>
        <w:rPr>
          <w:rFonts w:hint="eastAsia" w:ascii="宋体" w:hAnsi="宋体" w:eastAsia="宋体" w:cs="宋体"/>
          <w:sz w:val="24"/>
          <w:szCs w:val="24"/>
        </w:rPr>
      </w:pPr>
      <w:r>
        <w:rPr>
          <w:rFonts w:hint="eastAsia" w:ascii="宋体" w:hAnsi="宋体" w:eastAsia="宋体" w:cs="宋体"/>
          <w:sz w:val="24"/>
          <w:szCs w:val="24"/>
        </w:rPr>
        <w:t>（2）保修期间维修、零件更换费用由厂家负担。设备保修期满后，卖方工程师每年回访客户一次，客户在设备方面遇到问题时，卖方工程师应协助解决。</w:t>
      </w:r>
    </w:p>
    <w:p>
      <w:pPr>
        <w:spacing w:line="360" w:lineRule="auto"/>
        <w:rPr>
          <w:rFonts w:hint="eastAsia" w:ascii="宋体" w:hAnsi="宋体" w:eastAsia="宋体" w:cs="宋体"/>
          <w:sz w:val="24"/>
          <w:szCs w:val="24"/>
        </w:rPr>
      </w:pPr>
      <w:r>
        <w:rPr>
          <w:rFonts w:hint="eastAsia" w:ascii="宋体" w:hAnsi="宋体" w:eastAsia="宋体" w:cs="宋体"/>
          <w:sz w:val="24"/>
          <w:szCs w:val="24"/>
        </w:rPr>
        <w:t>（3）在保修期内仪器出现问题，接到用户报修要求，2小时内响应，如果无法通过网络和电话诊断排除故障，必须在48小时到达现场或安排维修工单。15个工作日内无法排除故障的，厂家应提供同档次备用机供采购人使用。</w:t>
      </w:r>
    </w:p>
    <w:p>
      <w:pPr>
        <w:spacing w:line="360" w:lineRule="auto"/>
        <w:rPr>
          <w:rFonts w:hint="eastAsia" w:ascii="宋体" w:hAnsi="宋体" w:eastAsia="宋体" w:cs="宋体"/>
          <w:sz w:val="24"/>
          <w:szCs w:val="24"/>
        </w:rPr>
      </w:pPr>
      <w:r>
        <w:rPr>
          <w:rFonts w:hint="eastAsia" w:ascii="宋体" w:hAnsi="宋体" w:eastAsia="宋体" w:cs="宋体"/>
          <w:sz w:val="24"/>
          <w:szCs w:val="24"/>
        </w:rPr>
        <w:t>（4）维修原则上不得超过15个工作日(依照故障现象需订国外配件或返回国外维修除外)，每超过一周工作日维修部分的保修在原有保修一年的基础上，增加一个月。</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5）出保修期后出现故障，接到用户报修要求，4小时内响应，如果无法通过网络和电话诊断排除故障，必须在72小时到达现场或安排维修工单。每次维修，需要根据故障现象提供维修报价单，维修费用及维修后维保依据维修合约执行。 </w:t>
      </w:r>
    </w:p>
    <w:p>
      <w:pPr>
        <w:spacing w:line="360" w:lineRule="auto"/>
        <w:rPr>
          <w:rFonts w:hint="eastAsia" w:ascii="宋体" w:hAnsi="宋体" w:eastAsia="宋体" w:cs="宋体"/>
          <w:sz w:val="24"/>
          <w:szCs w:val="24"/>
        </w:rPr>
      </w:pPr>
      <w:r>
        <w:rPr>
          <w:rFonts w:hint="eastAsia" w:ascii="宋体" w:hAnsi="宋体" w:eastAsia="宋体" w:cs="宋体"/>
          <w:sz w:val="24"/>
          <w:szCs w:val="24"/>
        </w:rPr>
        <w:t>（6）保修期后，中标方（供应商）涉及维修的所有配件，保修期外以不高于市场平均价的优惠价格出售买方，须列出价格清单。若所列价格高于市场平均价，按虚假应标处理。</w:t>
      </w:r>
    </w:p>
    <w:p>
      <w:pPr>
        <w:spacing w:line="360" w:lineRule="auto"/>
        <w:rPr>
          <w:rFonts w:hint="eastAsia" w:ascii="宋体" w:hAnsi="宋体" w:eastAsia="宋体" w:cs="宋体"/>
          <w:sz w:val="24"/>
          <w:szCs w:val="24"/>
        </w:rPr>
      </w:pPr>
      <w:r>
        <w:rPr>
          <w:rFonts w:hint="eastAsia" w:ascii="宋体" w:hAnsi="宋体" w:eastAsia="宋体" w:cs="宋体"/>
          <w:sz w:val="24"/>
          <w:szCs w:val="24"/>
        </w:rPr>
        <w:t>（7）投标商厂家要承诺十年內对以上要求做出必须实践的保证，不得以投标商厂家人员更换等因素拒不执行。</w:t>
      </w:r>
    </w:p>
    <w:p>
      <w:pPr>
        <w:spacing w:line="360" w:lineRule="auto"/>
        <w:rPr>
          <w:rFonts w:hint="eastAsia" w:ascii="宋体" w:hAnsi="宋体" w:eastAsia="宋体" w:cs="宋体"/>
          <w:sz w:val="24"/>
          <w:szCs w:val="24"/>
        </w:rPr>
      </w:pPr>
      <w:r>
        <w:rPr>
          <w:rFonts w:hint="eastAsia" w:ascii="宋体" w:hAnsi="宋体" w:eastAsia="宋体" w:cs="宋体"/>
          <w:sz w:val="24"/>
          <w:szCs w:val="24"/>
        </w:rPr>
        <w:t>（8）要求供货商在福建省内有办事处或分公司，并配有专业的仪器维修工程师，在中国设有三个以上固定维修站，保证提供及时优质的售后服务。供应商承诺在中国境内存贮有足够的设备备用部件，须保证有10年的零配件供应。</w:t>
      </w:r>
    </w:p>
    <w:p>
      <w:pPr>
        <w:spacing w:line="360" w:lineRule="auto"/>
        <w:rPr>
          <w:rFonts w:hint="eastAsia" w:ascii="宋体" w:hAnsi="宋体" w:eastAsia="宋体" w:cs="宋体"/>
          <w:sz w:val="24"/>
          <w:szCs w:val="24"/>
        </w:rPr>
      </w:pPr>
      <w:r>
        <w:rPr>
          <w:rFonts w:hint="eastAsia" w:ascii="宋体" w:hAnsi="宋体" w:eastAsia="宋体" w:cs="宋体"/>
          <w:sz w:val="24"/>
          <w:szCs w:val="24"/>
        </w:rPr>
        <w:t>（9）供货商在国内设有自己的研发应用中心。</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5、软、硬件的升级</w:t>
      </w:r>
    </w:p>
    <w:p>
      <w:pPr>
        <w:spacing w:line="360" w:lineRule="auto"/>
        <w:rPr>
          <w:rFonts w:hint="eastAsia" w:ascii="宋体" w:hAnsi="宋体" w:eastAsia="宋体" w:cs="宋体"/>
          <w:sz w:val="24"/>
          <w:szCs w:val="24"/>
        </w:rPr>
      </w:pPr>
      <w:r>
        <w:rPr>
          <w:rFonts w:hint="eastAsia" w:ascii="宋体" w:hAnsi="宋体" w:eastAsia="宋体" w:cs="宋体"/>
          <w:sz w:val="24"/>
          <w:szCs w:val="24"/>
        </w:rPr>
        <w:t>供方应向用户提供终身免费仪器软件升级服务；与之相关的硬件升级只收取成本。</w:t>
      </w:r>
    </w:p>
    <w:p>
      <w:pPr>
        <w:spacing w:line="360" w:lineRule="auto"/>
        <w:rPr>
          <w:rFonts w:hint="eastAsia" w:ascii="宋体" w:hAnsi="宋体" w:eastAsia="宋体" w:cs="宋体"/>
          <w:sz w:val="24"/>
          <w:szCs w:val="24"/>
          <w:lang w:eastAsia="zh-CN"/>
        </w:rPr>
      </w:pPr>
      <w:r>
        <w:rPr>
          <w:rFonts w:hint="eastAsia" w:ascii="宋体" w:hAnsi="宋体" w:eastAsia="宋体" w:cs="宋体"/>
          <w:b/>
          <w:sz w:val="24"/>
          <w:szCs w:val="24"/>
        </w:rPr>
        <w:t>6、交货时间</w:t>
      </w:r>
      <w:r>
        <w:rPr>
          <w:rFonts w:hint="eastAsia" w:ascii="宋体" w:hAnsi="宋体" w:eastAsia="宋体" w:cs="宋体"/>
          <w:sz w:val="24"/>
          <w:szCs w:val="24"/>
        </w:rPr>
        <w:t>：合同生效后三个月</w:t>
      </w:r>
      <w:r>
        <w:rPr>
          <w:rFonts w:hint="eastAsia" w:ascii="宋体" w:hAnsi="宋体" w:cs="宋体"/>
          <w:sz w:val="24"/>
          <w:szCs w:val="24"/>
          <w:lang w:eastAsia="zh-CN"/>
        </w:rPr>
        <w:t>。</w:t>
      </w:r>
    </w:p>
    <w:p>
      <w:pPr>
        <w:spacing w:line="360" w:lineRule="auto"/>
        <w:jc w:val="left"/>
        <w:rPr>
          <w:rFonts w:hint="default"/>
          <w:sz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3DD7310"/>
    <w:multiLevelType w:val="multilevel"/>
    <w:tmpl w:val="33DD7310"/>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9"/>
  </w:num>
  <w:num w:numId="3">
    <w:abstractNumId w:val="4"/>
  </w:num>
  <w:num w:numId="4">
    <w:abstractNumId w:val="6"/>
  </w:num>
  <w:num w:numId="5">
    <w:abstractNumId w:val="10"/>
  </w:num>
  <w:num w:numId="6">
    <w:abstractNumId w:val="5"/>
  </w:num>
  <w:num w:numId="7">
    <w:abstractNumId w:val="2"/>
  </w:num>
  <w:num w:numId="8">
    <w:abstractNumId w:val="1"/>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301B5"/>
    <w:rsid w:val="0013555B"/>
    <w:rsid w:val="00143854"/>
    <w:rsid w:val="001A5CE4"/>
    <w:rsid w:val="001B3020"/>
    <w:rsid w:val="001F0072"/>
    <w:rsid w:val="002024AD"/>
    <w:rsid w:val="00205C91"/>
    <w:rsid w:val="00271E4F"/>
    <w:rsid w:val="002D63AE"/>
    <w:rsid w:val="00363E7F"/>
    <w:rsid w:val="003952B5"/>
    <w:rsid w:val="003A7214"/>
    <w:rsid w:val="003B5EF3"/>
    <w:rsid w:val="003E17BF"/>
    <w:rsid w:val="00404174"/>
    <w:rsid w:val="004443A9"/>
    <w:rsid w:val="00454B35"/>
    <w:rsid w:val="00466E9E"/>
    <w:rsid w:val="004F204B"/>
    <w:rsid w:val="004F2137"/>
    <w:rsid w:val="0050790C"/>
    <w:rsid w:val="00515C0E"/>
    <w:rsid w:val="005E39D7"/>
    <w:rsid w:val="00607AB4"/>
    <w:rsid w:val="006216EC"/>
    <w:rsid w:val="006600C4"/>
    <w:rsid w:val="00666B09"/>
    <w:rsid w:val="006728FA"/>
    <w:rsid w:val="00675A1F"/>
    <w:rsid w:val="006B03C3"/>
    <w:rsid w:val="006D1705"/>
    <w:rsid w:val="00724054"/>
    <w:rsid w:val="00756C6B"/>
    <w:rsid w:val="00786041"/>
    <w:rsid w:val="0083518E"/>
    <w:rsid w:val="008B7766"/>
    <w:rsid w:val="008E5357"/>
    <w:rsid w:val="008F1619"/>
    <w:rsid w:val="008F7026"/>
    <w:rsid w:val="00926E68"/>
    <w:rsid w:val="00977991"/>
    <w:rsid w:val="00986620"/>
    <w:rsid w:val="00987B37"/>
    <w:rsid w:val="009A147A"/>
    <w:rsid w:val="009B120D"/>
    <w:rsid w:val="009E4FB8"/>
    <w:rsid w:val="00A20425"/>
    <w:rsid w:val="00A33A9C"/>
    <w:rsid w:val="00A344A9"/>
    <w:rsid w:val="00A40C44"/>
    <w:rsid w:val="00A47D6B"/>
    <w:rsid w:val="00A9547E"/>
    <w:rsid w:val="00AE539C"/>
    <w:rsid w:val="00AE5D17"/>
    <w:rsid w:val="00AF6147"/>
    <w:rsid w:val="00B2170A"/>
    <w:rsid w:val="00B777BC"/>
    <w:rsid w:val="00BE4315"/>
    <w:rsid w:val="00C21064"/>
    <w:rsid w:val="00C3212D"/>
    <w:rsid w:val="00C57FE6"/>
    <w:rsid w:val="00CF7445"/>
    <w:rsid w:val="00D2251F"/>
    <w:rsid w:val="00D26206"/>
    <w:rsid w:val="00D54DBB"/>
    <w:rsid w:val="00D862E1"/>
    <w:rsid w:val="00D92252"/>
    <w:rsid w:val="00DD0133"/>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57DF"/>
    <w:rsid w:val="0BE03768"/>
    <w:rsid w:val="0DE5021F"/>
    <w:rsid w:val="1054421D"/>
    <w:rsid w:val="124C124F"/>
    <w:rsid w:val="12B341EA"/>
    <w:rsid w:val="14DA42F1"/>
    <w:rsid w:val="19DC45B9"/>
    <w:rsid w:val="1CD91C97"/>
    <w:rsid w:val="1FC856F7"/>
    <w:rsid w:val="224B41FE"/>
    <w:rsid w:val="262554A0"/>
    <w:rsid w:val="2ADA0F0C"/>
    <w:rsid w:val="2DA57A2F"/>
    <w:rsid w:val="2DDB6773"/>
    <w:rsid w:val="2EA64C67"/>
    <w:rsid w:val="2FE50145"/>
    <w:rsid w:val="310F4F7A"/>
    <w:rsid w:val="315A2DDE"/>
    <w:rsid w:val="326B7E8B"/>
    <w:rsid w:val="3375635B"/>
    <w:rsid w:val="34826751"/>
    <w:rsid w:val="36D36FF4"/>
    <w:rsid w:val="376357E1"/>
    <w:rsid w:val="39F4487A"/>
    <w:rsid w:val="3ABA67BF"/>
    <w:rsid w:val="40EF77EF"/>
    <w:rsid w:val="43E942BE"/>
    <w:rsid w:val="441473E3"/>
    <w:rsid w:val="4A8D603B"/>
    <w:rsid w:val="4B6B5642"/>
    <w:rsid w:val="4F4B7F6C"/>
    <w:rsid w:val="50275A13"/>
    <w:rsid w:val="5152568B"/>
    <w:rsid w:val="554C18B3"/>
    <w:rsid w:val="578B162C"/>
    <w:rsid w:val="61264F5A"/>
    <w:rsid w:val="62170FA9"/>
    <w:rsid w:val="65B91FD2"/>
    <w:rsid w:val="67E42B36"/>
    <w:rsid w:val="699924A6"/>
    <w:rsid w:val="6BE76F67"/>
    <w:rsid w:val="6C371214"/>
    <w:rsid w:val="6D82743B"/>
    <w:rsid w:val="6E7A72C6"/>
    <w:rsid w:val="6EB56E53"/>
    <w:rsid w:val="70D427F0"/>
    <w:rsid w:val="7C127361"/>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4"/>
    <w:qFormat/>
    <w:uiPriority w:val="0"/>
    <w:rPr>
      <w:rFonts w:ascii="宋体" w:hAnsi="Courier New" w:cs="Courier New"/>
      <w:szCs w:val="21"/>
    </w:rPr>
  </w:style>
  <w:style w:type="paragraph" w:styleId="6">
    <w:name w:val="Body Text Indent 2"/>
    <w:basedOn w:val="1"/>
    <w:link w:val="15"/>
    <w:unhideWhenUsed/>
    <w:qFormat/>
    <w:uiPriority w:val="0"/>
    <w:pPr>
      <w:spacing w:after="120" w:line="480" w:lineRule="auto"/>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3">
    <w:name w:val="标题 1 字符"/>
    <w:basedOn w:val="12"/>
    <w:link w:val="2"/>
    <w:qFormat/>
    <w:uiPriority w:val="99"/>
    <w:rPr>
      <w:rFonts w:ascii="宋体" w:hAnsi="Times New Roman" w:eastAsia="宋体" w:cs="Times New Roman"/>
      <w:b/>
      <w:kern w:val="44"/>
      <w:sz w:val="32"/>
      <w:szCs w:val="20"/>
    </w:rPr>
  </w:style>
  <w:style w:type="character" w:customStyle="1" w:styleId="14">
    <w:name w:val="纯文本 字符"/>
    <w:basedOn w:val="12"/>
    <w:link w:val="5"/>
    <w:qFormat/>
    <w:uiPriority w:val="0"/>
    <w:rPr>
      <w:rFonts w:ascii="宋体" w:hAnsi="Courier New" w:eastAsia="宋体" w:cs="Courier New"/>
      <w:szCs w:val="21"/>
    </w:rPr>
  </w:style>
  <w:style w:type="character" w:customStyle="1" w:styleId="15">
    <w:name w:val="正文文本缩进 2 字符"/>
    <w:basedOn w:val="12"/>
    <w:link w:val="6"/>
    <w:qFormat/>
    <w:uiPriority w:val="0"/>
    <w:rPr>
      <w:rFonts w:ascii="Times New Roman" w:hAnsi="Times New Roman" w:eastAsia="宋体" w:cs="Times New Roman"/>
      <w:szCs w:val="24"/>
    </w:rPr>
  </w:style>
  <w:style w:type="character" w:customStyle="1" w:styleId="16">
    <w:name w:val="页脚 字符"/>
    <w:basedOn w:val="12"/>
    <w:link w:val="8"/>
    <w:qFormat/>
    <w:uiPriority w:val="99"/>
    <w:rPr>
      <w:rFonts w:ascii="Times New Roman" w:hAnsi="Times New Roman" w:eastAsia="宋体" w:cs="Times New Roman"/>
      <w:sz w:val="18"/>
      <w:szCs w:val="18"/>
    </w:rPr>
  </w:style>
  <w:style w:type="character" w:customStyle="1" w:styleId="17">
    <w:name w:val="页眉 字符"/>
    <w:basedOn w:val="12"/>
    <w:link w:val="9"/>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批注框文本 字符"/>
    <w:basedOn w:val="12"/>
    <w:link w:val="7"/>
    <w:semiHidden/>
    <w:qFormat/>
    <w:uiPriority w:val="99"/>
    <w:rPr>
      <w:rFonts w:ascii="Times New Roman" w:hAnsi="Times New Roman" w:eastAsia="宋体" w:cs="Times New Roman"/>
      <w:sz w:val="18"/>
      <w:szCs w:val="18"/>
    </w:rPr>
  </w:style>
  <w:style w:type="paragraph" w:customStyle="1" w:styleId="23">
    <w:name w:val="样式3"/>
    <w:basedOn w:val="5"/>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56F28-65FE-475B-8E76-D82BFE061C2D}">
  <ds:schemaRefs/>
</ds:datastoreItem>
</file>

<file path=docProps/app.xml><?xml version="1.0" encoding="utf-8"?>
<Properties xmlns="http://schemas.openxmlformats.org/officeDocument/2006/extended-properties" xmlns:vt="http://schemas.openxmlformats.org/officeDocument/2006/docPropsVTypes">
  <Template>Normal</Template>
  <Pages>1</Pages>
  <Words>2245</Words>
  <Characters>12797</Characters>
  <Lines>106</Lines>
  <Paragraphs>30</Paragraphs>
  <TotalTime>0</TotalTime>
  <ScaleCrop>false</ScaleCrop>
  <LinksUpToDate>false</LinksUpToDate>
  <CharactersWithSpaces>15012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2020-11-16T07:35:00Z</dcterms:created>
  <dc:creator>朱水林</dc:creator>
  <cp:lastModifiedBy>ICBC</cp:lastModifiedBy>
  <dcterms:modified xsi:type="dcterms:W3CDTF">2020-11-25T00:56:40Z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