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ind w:firstLine="3253" w:firstLineChars="900"/>
        <w:rPr>
          <w:rFonts w:hint="eastAsia" w:ascii="宋体" w:hAnsi="宋体"/>
          <w:b/>
          <w:bCs/>
          <w:sz w:val="36"/>
          <w:szCs w:val="28"/>
        </w:rPr>
      </w:pPr>
    </w:p>
    <w:p>
      <w:pPr>
        <w:ind w:firstLine="3614" w:firstLineChars="1000"/>
        <w:rPr>
          <w:rFonts w:hint="eastAsia" w:ascii="宋体" w:hAnsi="宋体"/>
          <w:b/>
          <w:bCs/>
          <w:sz w:val="36"/>
          <w:szCs w:val="28"/>
        </w:rPr>
      </w:pPr>
      <w:r>
        <w:rPr>
          <w:rFonts w:hint="eastAsia" w:ascii="宋体" w:hAnsi="宋体"/>
          <w:b/>
          <w:bCs/>
          <w:sz w:val="36"/>
          <w:szCs w:val="28"/>
        </w:rPr>
        <w:t>纯化器</w:t>
      </w:r>
    </w:p>
    <w:p>
      <w:pPr>
        <w:ind w:firstLine="3253" w:firstLineChars="900"/>
        <w:rPr>
          <w:rFonts w:hint="eastAsia" w:ascii="宋体" w:hAnsi="宋体"/>
          <w:b/>
          <w:bCs/>
          <w:sz w:val="36"/>
          <w:szCs w:val="28"/>
        </w:rPr>
      </w:pPr>
    </w:p>
    <w:p>
      <w:pPr>
        <w:spacing w:line="360" w:lineRule="auto"/>
        <w:jc w:val="center"/>
        <w:rPr>
          <w:rFonts w:ascii="宋体" w:hAnsi="宋体"/>
          <w:b/>
          <w:bCs/>
          <w:sz w:val="36"/>
          <w:szCs w:val="36"/>
        </w:rPr>
      </w:pPr>
      <w:r>
        <w:rPr>
          <w:rFonts w:hint="eastAsia" w:ascii="宋体" w:hAnsi="宋体"/>
          <w:b/>
          <w:bCs/>
          <w:sz w:val="36"/>
          <w:szCs w:val="28"/>
        </w:rPr>
        <w:t xml:space="preserve"> 采购编号：</w:t>
      </w:r>
      <w:r>
        <w:rPr>
          <w:rFonts w:hint="eastAsia" w:ascii="宋体" w:hAnsi="宋体"/>
          <w:b/>
          <w:sz w:val="36"/>
          <w:szCs w:val="36"/>
        </w:rPr>
        <w:t>JGYQ-2021TP-021</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1年4月</w:t>
      </w:r>
      <w:r>
        <w:rPr>
          <w:rFonts w:hint="eastAsia" w:ascii="宋体" w:hAnsi="宋体"/>
          <w:b/>
          <w:bCs/>
          <w:sz w:val="28"/>
          <w:szCs w:val="28"/>
          <w:lang w:val="en-US" w:eastAsia="zh-CN"/>
        </w:rPr>
        <w:t>8</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纯化器</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采购编号：JGYQ-2021TP-021</w:t>
      </w:r>
    </w:p>
    <w:p>
      <w:pPr>
        <w:numPr>
          <w:ilvl w:val="0"/>
          <w:numId w:val="2"/>
        </w:numPr>
        <w:spacing w:line="360" w:lineRule="auto"/>
        <w:rPr>
          <w:rFonts w:ascii="宋体"/>
          <w:sz w:val="28"/>
          <w:szCs w:val="28"/>
        </w:rPr>
      </w:pPr>
      <w:r>
        <w:rPr>
          <w:rFonts w:hint="eastAsia" w:ascii="宋体" w:hAnsi="宋体"/>
          <w:sz w:val="28"/>
          <w:szCs w:val="28"/>
        </w:rPr>
        <w:t>采购项目：纯化器</w:t>
      </w:r>
    </w:p>
    <w:p>
      <w:pPr>
        <w:numPr>
          <w:ilvl w:val="0"/>
          <w:numId w:val="2"/>
        </w:numPr>
        <w:spacing w:line="360" w:lineRule="auto"/>
        <w:rPr>
          <w:rFonts w:ascii="宋体"/>
          <w:sz w:val="28"/>
          <w:szCs w:val="28"/>
        </w:rPr>
      </w:pPr>
      <w:r>
        <w:rPr>
          <w:rFonts w:hint="eastAsia" w:ascii="宋体" w:hAnsi="宋体"/>
          <w:sz w:val="28"/>
          <w:szCs w:val="28"/>
        </w:rPr>
        <w:t>采购预算：本项目预算人民币723000元（最高控制价，人民币包干或需预留空间予用户支付报关报检及外贸代理等相关费用）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after="100" w:afterAutospacing="1" w:line="360" w:lineRule="auto"/>
        <w:rPr>
          <w:rFonts w:hint="eastAsia" w:ascii="宋体" w:hAnsi="宋体"/>
          <w:sz w:val="28"/>
          <w:szCs w:val="28"/>
        </w:rPr>
      </w:pPr>
      <w:r>
        <w:rPr>
          <w:rFonts w:hint="eastAsia" w:ascii="宋体" w:hAnsi="宋体"/>
          <w:sz w:val="28"/>
          <w:szCs w:val="28"/>
        </w:rPr>
        <w:t>报价截止和磋商时间：2021年4月</w:t>
      </w:r>
      <w:r>
        <w:rPr>
          <w:rFonts w:hint="eastAsia" w:ascii="宋体" w:hAnsi="宋体"/>
          <w:sz w:val="28"/>
          <w:szCs w:val="28"/>
          <w:lang w:val="en-US" w:eastAsia="zh-CN"/>
        </w:rPr>
        <w:t>16</w:t>
      </w:r>
      <w:r>
        <w:rPr>
          <w:rFonts w:hint="eastAsia" w:ascii="宋体" w:hAnsi="宋体"/>
          <w:sz w:val="28"/>
          <w:szCs w:val="28"/>
        </w:rPr>
        <w:t>日上午9：</w:t>
      </w:r>
      <w:r>
        <w:rPr>
          <w:rFonts w:hint="eastAsia" w:ascii="宋体" w:hAnsi="宋体"/>
          <w:sz w:val="28"/>
          <w:szCs w:val="28"/>
          <w:lang w:val="en-US" w:eastAsia="zh-CN"/>
        </w:rPr>
        <w:t>00</w:t>
      </w:r>
    </w:p>
    <w:p>
      <w:pPr>
        <w:numPr>
          <w:ilvl w:val="0"/>
          <w:numId w:val="2"/>
        </w:numPr>
        <w:spacing w:after="100" w:afterAutospacing="1" w:line="360" w:lineRule="auto"/>
        <w:rPr>
          <w:rFonts w:hint="eastAsia" w:ascii="宋体" w:hAnsi="宋体"/>
          <w:sz w:val="28"/>
          <w:szCs w:val="28"/>
        </w:rPr>
      </w:pPr>
      <w:r>
        <w:rPr>
          <w:rFonts w:hint="eastAsia" w:ascii="宋体" w:hAnsi="宋体"/>
          <w:sz w:val="28"/>
          <w:szCs w:val="28"/>
        </w:rPr>
        <w:t>报名及磋商文件发售截至时间：报价人必须在2021年4月</w:t>
      </w:r>
      <w:r>
        <w:rPr>
          <w:rFonts w:hint="eastAsia" w:ascii="宋体" w:hAnsi="宋体"/>
          <w:sz w:val="28"/>
          <w:szCs w:val="28"/>
          <w:lang w:val="en-US" w:eastAsia="zh-CN"/>
        </w:rPr>
        <w:t>15</w:t>
      </w:r>
      <w:r>
        <w:rPr>
          <w:rFonts w:hint="eastAsia" w:ascii="宋体" w:hAnsi="宋体"/>
          <w:sz w:val="28"/>
          <w:szCs w:val="28"/>
        </w:rPr>
        <w:t>日下午15点前（节假日除外），以邮件方式进行报名（详见附件报名函），逾期视为放弃竞标机会。</w:t>
      </w:r>
    </w:p>
    <w:p>
      <w:pPr>
        <w:numPr>
          <w:ilvl w:val="0"/>
          <w:numId w:val="2"/>
        </w:numPr>
        <w:spacing w:after="100" w:afterAutospacing="1" w:line="360" w:lineRule="auto"/>
        <w:rPr>
          <w:rFonts w:hint="eastAsia" w:ascii="宋体" w:hAnsi="宋体"/>
          <w:sz w:val="28"/>
          <w:szCs w:val="28"/>
        </w:rPr>
      </w:pPr>
      <w:r>
        <w:rPr>
          <w:rFonts w:hint="eastAsia" w:ascii="宋体" w:hAnsi="宋体"/>
          <w:sz w:val="28"/>
          <w:szCs w:val="28"/>
        </w:rPr>
        <w:t>开标地点：厦门市思明南路422号厦门大学颂恩楼</w:t>
      </w:r>
      <w:r>
        <w:rPr>
          <w:rFonts w:hint="eastAsia" w:ascii="宋体" w:hAnsi="宋体"/>
          <w:sz w:val="28"/>
          <w:szCs w:val="28"/>
          <w:lang w:val="en-US" w:eastAsia="zh-CN"/>
        </w:rPr>
        <w:t>615</w:t>
      </w:r>
      <w:r>
        <w:rPr>
          <w:rFonts w:hint="eastAsia" w:ascii="宋体" w:hAnsi="宋体"/>
          <w:sz w:val="28"/>
          <w:szCs w:val="28"/>
        </w:rPr>
        <w:t>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720"/>
        <w:rPr>
          <w:rFonts w:ascii="宋体" w:hAnsi="宋体"/>
          <w:color w:val="000000"/>
          <w:sz w:val="28"/>
          <w:szCs w:val="28"/>
          <w:shd w:val="clear" w:color="auto" w:fill="FFFFFF"/>
        </w:rPr>
      </w:pPr>
      <w:r>
        <w:rPr>
          <w:rFonts w:hint="eastAsia" w:ascii="宋体" w:hAnsi="宋体"/>
          <w:sz w:val="28"/>
          <w:szCs w:val="28"/>
        </w:rPr>
        <w:t xml:space="preserve">技术需求方面请联系用户单位：陈老师 </w:t>
      </w:r>
      <w:r>
        <w:rPr>
          <w:rFonts w:hint="eastAsia" w:ascii="宋体" w:hAnsi="宋体" w:eastAsia="宋体" w:cs="宋体"/>
          <w:i w:val="0"/>
          <w:iCs w:val="0"/>
          <w:caps w:val="0"/>
          <w:color w:val="000000"/>
          <w:spacing w:val="0"/>
          <w:sz w:val="28"/>
          <w:szCs w:val="28"/>
        </w:rPr>
        <w:t>0592-2187737</w:t>
      </w:r>
      <w:bookmarkStart w:id="13" w:name="_GoBack"/>
      <w:bookmarkEnd w:id="13"/>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left="720"/>
        <w:rPr>
          <w:rFonts w:ascii="宋体" w:hAnsi="宋体"/>
          <w:sz w:val="28"/>
          <w:szCs w:val="28"/>
        </w:rPr>
      </w:pPr>
      <w:r>
        <w:rPr>
          <w:rFonts w:hint="eastAsia" w:ascii="宋体" w:hAnsi="宋体"/>
          <w:sz w:val="28"/>
          <w:szCs w:val="28"/>
        </w:rPr>
        <w:t>李老师</w:t>
      </w:r>
      <w:r>
        <w:rPr>
          <w:rFonts w:ascii="宋体" w:hAnsi="宋体"/>
          <w:sz w:val="28"/>
          <w:szCs w:val="28"/>
        </w:rPr>
        <w:t xml:space="preserve">   </w:t>
      </w:r>
      <w:r>
        <w:rPr>
          <w:rFonts w:hint="eastAsia" w:ascii="宋体" w:hAnsi="宋体"/>
          <w:sz w:val="28"/>
          <w:szCs w:val="28"/>
        </w:rPr>
        <w:t>0592-</w:t>
      </w:r>
      <w:r>
        <w:rPr>
          <w:rFonts w:ascii="宋体" w:hAnsi="宋体"/>
          <w:sz w:val="28"/>
          <w:szCs w:val="28"/>
        </w:rPr>
        <w:t xml:space="preserve">2186100 </w:t>
      </w:r>
      <w:r>
        <w:rPr>
          <w:rFonts w:hint="eastAsia" w:ascii="宋体" w:hAnsi="宋体"/>
          <w:sz w:val="28"/>
          <w:szCs w:val="28"/>
        </w:rPr>
        <w:t xml:space="preserve">  0592-2882502</w:t>
      </w:r>
    </w:p>
    <w:p>
      <w:pPr>
        <w:spacing w:line="360" w:lineRule="auto"/>
        <w:ind w:firstLine="1960" w:firstLineChars="700"/>
        <w:rPr>
          <w:rFonts w:ascii="宋体"/>
          <w:sz w:val="28"/>
          <w:szCs w:val="28"/>
        </w:rPr>
      </w:pPr>
      <w:r>
        <w:rPr>
          <w:rFonts w:ascii="宋体" w:hAnsi="宋体"/>
          <w:sz w:val="28"/>
          <w:szCs w:val="28"/>
        </w:rPr>
        <w:t>li.nan@xmu.edu.cn</w:t>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w:t>
      </w:r>
      <w:r>
        <w:rPr>
          <w:rFonts w:hint="eastAsia" w:ascii="宋体" w:hAnsi="宋体"/>
          <w:sz w:val="28"/>
          <w:szCs w:val="28"/>
        </w:rPr>
        <w:t>1年4月</w:t>
      </w:r>
      <w:r>
        <w:rPr>
          <w:rFonts w:hint="eastAsia" w:ascii="宋体" w:hAnsi="宋体"/>
          <w:sz w:val="28"/>
          <w:szCs w:val="28"/>
          <w:lang w:val="en-US" w:eastAsia="zh-CN"/>
        </w:rPr>
        <w:t>8</w:t>
      </w:r>
      <w:r>
        <w:rPr>
          <w:rFonts w:hint="eastAsia" w:ascii="宋体" w:hAnsi="宋体"/>
          <w:sz w:val="28"/>
          <w:szCs w:val="28"/>
        </w:rPr>
        <w:t>日</w:t>
      </w:r>
    </w:p>
    <w:p>
      <w:pP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5"/>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5"/>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5"/>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18"/>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1"/>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693"/>
        <w:gridCol w:w="1560"/>
        <w:gridCol w:w="1984"/>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2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2693"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1560"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1984" w:type="dxa"/>
            <w:shd w:val="clear" w:color="000000" w:fill="FFFFFF"/>
            <w:vAlign w:val="center"/>
          </w:tcPr>
          <w:p>
            <w:pPr>
              <w:widowControl/>
              <w:jc w:val="center"/>
              <w:rPr>
                <w:rFonts w:ascii="宋体" w:hAnsi="宋体"/>
                <w:kern w:val="0"/>
                <w:sz w:val="24"/>
              </w:rPr>
            </w:pPr>
            <w:r>
              <w:rPr>
                <w:rFonts w:hint="eastAsia" w:ascii="宋体" w:hAnsi="宋体"/>
                <w:kern w:val="0"/>
                <w:sz w:val="24"/>
              </w:rPr>
              <w:t>预算</w:t>
            </w:r>
          </w:p>
        </w:tc>
        <w:tc>
          <w:tcPr>
            <w:tcW w:w="2608"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24" w:type="dxa"/>
            <w:vAlign w:val="center"/>
          </w:tcPr>
          <w:p>
            <w:pPr>
              <w:widowControl/>
              <w:jc w:val="center"/>
              <w:rPr>
                <w:color w:val="000000"/>
                <w:kern w:val="0"/>
                <w:sz w:val="20"/>
                <w:szCs w:val="20"/>
              </w:rPr>
            </w:pPr>
            <w:r>
              <w:rPr>
                <w:color w:val="000000"/>
                <w:kern w:val="0"/>
                <w:sz w:val="20"/>
                <w:szCs w:val="20"/>
              </w:rPr>
              <w:t>1</w:t>
            </w:r>
          </w:p>
        </w:tc>
        <w:tc>
          <w:tcPr>
            <w:tcW w:w="2693" w:type="dxa"/>
            <w:shd w:val="clear" w:color="000000" w:fill="FFFFFF"/>
            <w:vAlign w:val="center"/>
          </w:tcPr>
          <w:p>
            <w:pPr>
              <w:widowControl/>
              <w:jc w:val="center"/>
              <w:rPr>
                <w:sz w:val="24"/>
              </w:rPr>
            </w:pPr>
            <w:r>
              <w:rPr>
                <w:rFonts w:hint="eastAsia"/>
                <w:sz w:val="24"/>
              </w:rPr>
              <w:t>氢气纯化器</w:t>
            </w:r>
          </w:p>
        </w:tc>
        <w:tc>
          <w:tcPr>
            <w:tcW w:w="1560" w:type="dxa"/>
            <w:shd w:val="clear" w:color="000000" w:fill="FFFFFF"/>
            <w:vAlign w:val="center"/>
          </w:tcPr>
          <w:p>
            <w:pPr>
              <w:widowControl/>
              <w:jc w:val="center"/>
              <w:rPr>
                <w:kern w:val="0"/>
                <w:sz w:val="28"/>
                <w:szCs w:val="20"/>
              </w:rPr>
            </w:pPr>
            <w:r>
              <w:rPr>
                <w:kern w:val="0"/>
                <w:sz w:val="28"/>
                <w:szCs w:val="20"/>
              </w:rPr>
              <w:t>1</w:t>
            </w:r>
          </w:p>
        </w:tc>
        <w:tc>
          <w:tcPr>
            <w:tcW w:w="1984" w:type="dxa"/>
            <w:shd w:val="clear" w:color="000000" w:fill="FFFFFF"/>
            <w:vAlign w:val="center"/>
          </w:tcPr>
          <w:p>
            <w:pPr>
              <w:jc w:val="center"/>
              <w:rPr>
                <w:spacing w:val="24"/>
                <w:sz w:val="28"/>
              </w:rPr>
            </w:pPr>
            <w:r>
              <w:rPr>
                <w:rFonts w:hint="eastAsia"/>
                <w:spacing w:val="24"/>
                <w:sz w:val="28"/>
              </w:rPr>
              <w:t>35</w:t>
            </w:r>
            <w:r>
              <w:rPr>
                <w:spacing w:val="24"/>
                <w:sz w:val="28"/>
              </w:rPr>
              <w:t>5</w:t>
            </w:r>
            <w:r>
              <w:rPr>
                <w:rFonts w:hint="eastAsia"/>
                <w:spacing w:val="24"/>
                <w:sz w:val="28"/>
              </w:rPr>
              <w:t>000</w:t>
            </w:r>
            <w:r>
              <w:rPr>
                <w:spacing w:val="24"/>
                <w:sz w:val="28"/>
              </w:rPr>
              <w:t>元</w:t>
            </w:r>
          </w:p>
        </w:tc>
        <w:tc>
          <w:tcPr>
            <w:tcW w:w="2608" w:type="dxa"/>
            <w:shd w:val="clear" w:color="000000" w:fill="FFFFFF"/>
            <w:vAlign w:val="center"/>
          </w:tcPr>
          <w:p>
            <w:pPr>
              <w:jc w:val="center"/>
              <w:rPr>
                <w:spacing w:val="24"/>
                <w:sz w:val="28"/>
              </w:rPr>
            </w:pPr>
            <w:r>
              <w:rPr>
                <w:spacing w:val="24"/>
                <w:sz w:val="28"/>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24" w:type="dxa"/>
            <w:vAlign w:val="center"/>
          </w:tcPr>
          <w:p>
            <w:pPr>
              <w:widowControl/>
              <w:jc w:val="center"/>
              <w:rPr>
                <w:color w:val="000000"/>
                <w:kern w:val="0"/>
                <w:sz w:val="20"/>
                <w:szCs w:val="20"/>
              </w:rPr>
            </w:pPr>
            <w:r>
              <w:rPr>
                <w:color w:val="000000"/>
                <w:kern w:val="0"/>
                <w:sz w:val="20"/>
                <w:szCs w:val="20"/>
              </w:rPr>
              <w:t>2</w:t>
            </w:r>
          </w:p>
        </w:tc>
        <w:tc>
          <w:tcPr>
            <w:tcW w:w="2693" w:type="dxa"/>
            <w:shd w:val="clear" w:color="000000" w:fill="FFFFFF"/>
            <w:vAlign w:val="center"/>
          </w:tcPr>
          <w:p>
            <w:pPr>
              <w:widowControl/>
              <w:jc w:val="center"/>
              <w:rPr>
                <w:sz w:val="24"/>
              </w:rPr>
            </w:pPr>
            <w:r>
              <w:rPr>
                <w:rFonts w:hint="eastAsia"/>
                <w:sz w:val="24"/>
              </w:rPr>
              <w:t>氩气纯化器</w:t>
            </w:r>
          </w:p>
        </w:tc>
        <w:tc>
          <w:tcPr>
            <w:tcW w:w="1560" w:type="dxa"/>
            <w:shd w:val="clear" w:color="000000" w:fill="FFFFFF"/>
            <w:vAlign w:val="center"/>
          </w:tcPr>
          <w:p>
            <w:pPr>
              <w:widowControl/>
              <w:jc w:val="center"/>
              <w:rPr>
                <w:kern w:val="0"/>
                <w:sz w:val="28"/>
                <w:szCs w:val="20"/>
              </w:rPr>
            </w:pPr>
            <w:r>
              <w:rPr>
                <w:kern w:val="0"/>
                <w:sz w:val="28"/>
                <w:szCs w:val="20"/>
              </w:rPr>
              <w:t>1</w:t>
            </w:r>
          </w:p>
        </w:tc>
        <w:tc>
          <w:tcPr>
            <w:tcW w:w="1984" w:type="dxa"/>
            <w:shd w:val="clear" w:color="000000" w:fill="FFFFFF"/>
            <w:vAlign w:val="center"/>
          </w:tcPr>
          <w:p>
            <w:pPr>
              <w:jc w:val="center"/>
              <w:rPr>
                <w:spacing w:val="24"/>
                <w:sz w:val="28"/>
              </w:rPr>
            </w:pPr>
            <w:r>
              <w:rPr>
                <w:spacing w:val="24"/>
                <w:sz w:val="28"/>
              </w:rPr>
              <w:t>368</w:t>
            </w:r>
            <w:r>
              <w:rPr>
                <w:rFonts w:hint="eastAsia"/>
                <w:spacing w:val="24"/>
                <w:sz w:val="28"/>
              </w:rPr>
              <w:t>000</w:t>
            </w:r>
            <w:r>
              <w:rPr>
                <w:spacing w:val="24"/>
                <w:sz w:val="28"/>
              </w:rPr>
              <w:t>元</w:t>
            </w:r>
          </w:p>
        </w:tc>
        <w:tc>
          <w:tcPr>
            <w:tcW w:w="2608" w:type="dxa"/>
            <w:shd w:val="clear" w:color="000000" w:fill="FFFFFF"/>
            <w:vAlign w:val="center"/>
          </w:tcPr>
          <w:p>
            <w:pPr>
              <w:jc w:val="center"/>
              <w:rPr>
                <w:spacing w:val="24"/>
                <w:sz w:val="28"/>
              </w:rPr>
            </w:pPr>
            <w:r>
              <w:rPr>
                <w:spacing w:val="24"/>
                <w:sz w:val="28"/>
              </w:rPr>
              <w:t>详见附件2</w:t>
            </w:r>
          </w:p>
        </w:tc>
      </w:tr>
    </w:tbl>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本次采购的报价文件需正本1份、副本5份。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rPr>
      </w:pPr>
      <w:r>
        <w:rPr>
          <w:rFonts w:hint="eastAsia"/>
          <w:color w:val="000000"/>
          <w:sz w:val="24"/>
        </w:rPr>
        <w:t>从中华人民共和国境内提供的货物：设备到达用户指定地点安装、调试验收合格后支付90%，10%质保金</w:t>
      </w:r>
      <w:r>
        <w:rPr>
          <w:rFonts w:hint="eastAsia"/>
          <w:color w:val="000000"/>
          <w:sz w:val="24"/>
          <w:highlight w:val="none"/>
        </w:rPr>
        <w:t>两年</w:t>
      </w:r>
      <w:r>
        <w:rPr>
          <w:rFonts w:hint="eastAsia"/>
          <w:color w:val="000000"/>
          <w:sz w:val="24"/>
        </w:rPr>
        <w:t>后支付。</w:t>
      </w:r>
    </w:p>
    <w:p>
      <w:pPr>
        <w:tabs>
          <w:tab w:val="left" w:pos="0"/>
          <w:tab w:val="left" w:pos="540"/>
        </w:tabs>
        <w:spacing w:line="360" w:lineRule="auto"/>
        <w:ind w:firstLine="480" w:firstLineChars="200"/>
        <w:rPr>
          <w:rFonts w:ascii="Arial" w:hAnsi="宋体" w:cs="Arial"/>
          <w:sz w:val="24"/>
          <w:szCs w:val="21"/>
        </w:rPr>
      </w:pPr>
      <w:r>
        <w:rPr>
          <w:rFonts w:hint="eastAsia"/>
          <w:sz w:val="24"/>
        </w:rPr>
        <w:t>从中华人民共和国境外提供的货物：</w:t>
      </w:r>
      <w:r>
        <w:rPr>
          <w:rFonts w:hint="eastAsia"/>
          <w:color w:val="000000"/>
          <w:sz w:val="24"/>
        </w:rPr>
        <w:t>100%不可撤销信用证，30%见单即付，70%验收合格后付。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0"/>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0"/>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w:t>
      </w:r>
      <w:r>
        <w:rPr>
          <w:rFonts w:hint="eastAsia" w:ascii="Arial" w:hAnsi="宋体" w:cs="Arial"/>
          <w:sz w:val="24"/>
          <w:szCs w:val="21"/>
          <w:highlight w:val="none"/>
        </w:rPr>
        <w:t>两年（</w:t>
      </w:r>
      <w:r>
        <w:rPr>
          <w:rFonts w:hint="eastAsia" w:ascii="Arial" w:hAnsi="宋体" w:cs="Arial"/>
          <w:sz w:val="24"/>
          <w:szCs w:val="21"/>
        </w:rPr>
        <w:t>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tabs>
          <w:tab w:val="left" w:pos="540"/>
        </w:tabs>
        <w:spacing w:line="360" w:lineRule="auto"/>
        <w:rPr>
          <w:rFonts w:ascii="Arial" w:hAnsi="宋体" w:cs="Arial"/>
          <w:sz w:val="24"/>
          <w:szCs w:val="21"/>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19"/>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19"/>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19"/>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19"/>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19"/>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报价文件分正本壹份和副本伍份，在每一份报价文件要明确注明“正本”或“副本”字样，若正本和副本有差异，以正本为准。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numPr>
          <w:ilvl w:val="0"/>
          <w:numId w:val="10"/>
        </w:numPr>
        <w:spacing w:line="360" w:lineRule="auto"/>
        <w:rPr>
          <w:b/>
          <w:bCs/>
          <w:color w:val="000000"/>
          <w:sz w:val="32"/>
          <w:szCs w:val="32"/>
        </w:rPr>
      </w:pPr>
      <w:r>
        <w:rPr>
          <w:b/>
          <w:bCs/>
          <w:color w:val="000000"/>
          <w:sz w:val="32"/>
          <w:szCs w:val="32"/>
        </w:rPr>
        <w:br w:type="page"/>
      </w: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份和副本5份。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1"/>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cs="宋体"/>
          <w:sz w:val="24"/>
        </w:rPr>
      </w:pPr>
      <w:r>
        <w:rPr>
          <w:rFonts w:hint="eastAsia" w:ascii="宋体" w:hAnsi="宋体" w:cs="宋体"/>
          <w:sz w:val="24"/>
        </w:rPr>
        <w:t>格式3  报价货物简要说明一览表</w:t>
      </w:r>
    </w:p>
    <w:p>
      <w:pPr>
        <w:tabs>
          <w:tab w:val="left" w:pos="3570"/>
        </w:tabs>
        <w:spacing w:line="360" w:lineRule="auto"/>
        <w:ind w:right="-21" w:rightChars="-10"/>
        <w:jc w:val="center"/>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报价人全称（加盖公章）：</w:t>
      </w:r>
      <w:r>
        <w:rPr>
          <w:rFonts w:hint="eastAsia" w:ascii="宋体" w:hAnsi="宋体" w:cs="宋体"/>
          <w:color w:val="000000"/>
          <w:sz w:val="24"/>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序号</w:t>
            </w:r>
          </w:p>
        </w:tc>
        <w:tc>
          <w:tcPr>
            <w:tcW w:w="1226"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货物名称</w:t>
            </w:r>
          </w:p>
        </w:tc>
        <w:tc>
          <w:tcPr>
            <w:tcW w:w="2955"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型号规格及配置</w:t>
            </w:r>
          </w:p>
        </w:tc>
        <w:tc>
          <w:tcPr>
            <w:tcW w:w="1399"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性能说明</w:t>
            </w:r>
          </w:p>
        </w:tc>
        <w:tc>
          <w:tcPr>
            <w:tcW w:w="87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数量</w:t>
            </w:r>
          </w:p>
        </w:tc>
        <w:tc>
          <w:tcPr>
            <w:tcW w:w="136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bl>
    <w:p>
      <w:pPr>
        <w:tabs>
          <w:tab w:val="left" w:pos="3570"/>
        </w:tabs>
        <w:spacing w:line="360" w:lineRule="auto"/>
        <w:ind w:right="-21" w:rightChars="-10"/>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报价代表签字：</w:t>
      </w:r>
      <w:r>
        <w:rPr>
          <w:rFonts w:hint="eastAsia" w:ascii="宋体" w:hAnsi="宋体" w:cs="宋体"/>
          <w:color w:val="000000"/>
          <w:sz w:val="24"/>
          <w:u w:val="single"/>
        </w:rPr>
        <w:t xml:space="preserve">                            </w:t>
      </w:r>
    </w:p>
    <w:p>
      <w:pPr>
        <w:tabs>
          <w:tab w:val="left" w:pos="3570"/>
        </w:tabs>
        <w:spacing w:line="360" w:lineRule="auto"/>
        <w:ind w:right="-21" w:rightChars="-10"/>
        <w:rPr>
          <w:rFonts w:ascii="宋体" w:hAnsi="宋体" w:cs="宋体"/>
          <w:color w:val="000000"/>
          <w:sz w:val="24"/>
          <w:u w:val="single"/>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pStyle w:val="6"/>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6"/>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6"/>
        <w:tabs>
          <w:tab w:val="left" w:pos="0"/>
          <w:tab w:val="left" w:pos="735"/>
        </w:tabs>
        <w:spacing w:line="360" w:lineRule="auto"/>
        <w:ind w:firstLine="417" w:firstLineChars="174"/>
        <w:rPr>
          <w:sz w:val="24"/>
          <w:szCs w:val="32"/>
          <w:u w:val="single"/>
        </w:rPr>
      </w:pPr>
      <w:r>
        <w:rPr>
          <w:rFonts w:hint="eastAsia"/>
          <w:sz w:val="24"/>
          <w:szCs w:val="32"/>
        </w:rPr>
        <w:t>合同包：</w:t>
      </w:r>
      <w:r>
        <w:rPr>
          <w:rFonts w:hint="eastAsia"/>
          <w:sz w:val="24"/>
          <w:szCs w:val="32"/>
          <w:u w:val="single"/>
        </w:rPr>
        <w:t xml:space="preserve">                       </w:t>
      </w:r>
    </w:p>
    <w:tbl>
      <w:tblPr>
        <w:tblStyle w:val="1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6"/>
        <w:tabs>
          <w:tab w:val="left" w:pos="0"/>
          <w:tab w:val="left" w:pos="735"/>
        </w:tabs>
        <w:spacing w:line="360" w:lineRule="auto"/>
        <w:rPr>
          <w:rFonts w:hAnsi="宋体"/>
          <w:sz w:val="24"/>
        </w:rPr>
      </w:pPr>
    </w:p>
    <w:p>
      <w:pPr>
        <w:pStyle w:val="6"/>
        <w:tabs>
          <w:tab w:val="left" w:pos="0"/>
          <w:tab w:val="left" w:pos="735"/>
        </w:tabs>
        <w:spacing w:line="360" w:lineRule="auto"/>
        <w:rPr>
          <w:sz w:val="24"/>
        </w:rPr>
      </w:pPr>
    </w:p>
    <w:p>
      <w:pPr>
        <w:pStyle w:val="6"/>
        <w:tabs>
          <w:tab w:val="left" w:pos="0"/>
          <w:tab w:val="left" w:pos="735"/>
        </w:tabs>
        <w:spacing w:line="360" w:lineRule="auto"/>
        <w:ind w:firstLine="600" w:firstLineChars="250"/>
        <w:rPr>
          <w:sz w:val="24"/>
        </w:rPr>
      </w:pPr>
      <w:r>
        <w:rPr>
          <w:rFonts w:hint="eastAsia"/>
          <w:sz w:val="24"/>
        </w:rPr>
        <w:t>报价代表签字：</w:t>
      </w:r>
      <w:r>
        <w:rPr>
          <w:rFonts w:hint="eastAsia"/>
          <w:sz w:val="24"/>
          <w:u w:val="single"/>
        </w:rPr>
        <w:t xml:space="preserve">                           </w:t>
      </w:r>
      <w:r>
        <w:rPr>
          <w:rFonts w:hint="eastAsia"/>
          <w:sz w:val="24"/>
        </w:rPr>
        <w:t xml:space="preserve"> </w:t>
      </w:r>
    </w:p>
    <w:p>
      <w:pPr>
        <w:pStyle w:val="6"/>
        <w:tabs>
          <w:tab w:val="left" w:pos="0"/>
          <w:tab w:val="left" w:pos="735"/>
        </w:tabs>
        <w:spacing w:line="360" w:lineRule="auto"/>
        <w:ind w:firstLine="600" w:firstLineChars="250"/>
        <w:rPr>
          <w:sz w:val="24"/>
          <w:u w:val="single"/>
        </w:rPr>
      </w:pPr>
      <w:r>
        <w:rPr>
          <w:rFonts w:hint="eastAsia"/>
          <w:sz w:val="24"/>
        </w:rPr>
        <w:t>日        期：</w:t>
      </w:r>
      <w:r>
        <w:rPr>
          <w:rFonts w:hint="eastAsia"/>
          <w:sz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rPr>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spacing w:line="360" w:lineRule="auto"/>
        <w:ind w:firstLine="570"/>
        <w:jc w:val="center"/>
        <w:rPr>
          <w:bCs/>
          <w:sz w:val="28"/>
        </w:rPr>
      </w:pPr>
    </w:p>
    <w:p>
      <w:pPr>
        <w:pStyle w:val="5"/>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5"/>
        <w:snapToGrid w:val="0"/>
        <w:spacing w:line="400" w:lineRule="exact"/>
        <w:ind w:firstLine="560" w:firstLineChars="200"/>
        <w:jc w:val="left"/>
        <w:rPr>
          <w:rFonts w:hAnsi="宋体"/>
          <w:sz w:val="28"/>
          <w:szCs w:val="22"/>
          <w:u w:val="single"/>
        </w:rPr>
      </w:pPr>
    </w:p>
    <w:p>
      <w:pPr>
        <w:pStyle w:val="5"/>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5"/>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5"/>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5"/>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5"/>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5"/>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5"/>
        <w:snapToGrid w:val="0"/>
        <w:spacing w:line="400" w:lineRule="exact"/>
        <w:ind w:firstLine="480" w:firstLineChars="200"/>
        <w:jc w:val="left"/>
        <w:rPr>
          <w:rFonts w:hAnsi="宋体"/>
          <w:sz w:val="24"/>
        </w:rPr>
      </w:pPr>
      <w:r>
        <w:rPr>
          <w:rFonts w:hint="eastAsia" w:hAnsi="宋体"/>
          <w:sz w:val="24"/>
        </w:rPr>
        <w:t xml:space="preserve">投标人名称：                               </w:t>
      </w:r>
    </w:p>
    <w:p>
      <w:pPr>
        <w:pStyle w:val="5"/>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5"/>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5"/>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5"/>
        <w:snapToGrid w:val="0"/>
        <w:spacing w:line="400" w:lineRule="exact"/>
        <w:ind w:firstLine="480" w:firstLineChars="200"/>
        <w:jc w:val="left"/>
        <w:rPr>
          <w:rFonts w:hAnsi="宋体"/>
          <w:sz w:val="24"/>
        </w:rPr>
      </w:pPr>
      <w:r>
        <w:rPr>
          <w:rFonts w:hint="eastAsia" w:hAnsi="宋体"/>
          <w:sz w:val="24"/>
        </w:rPr>
        <w:t>本授权书自出具之日起生效。</w:t>
      </w:r>
    </w:p>
    <w:p>
      <w:pPr>
        <w:pStyle w:val="5"/>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323741898"/>
      <w:bookmarkStart w:id="1" w:name="_Toc184550797"/>
      <w:bookmarkStart w:id="2" w:name="_Toc256416592"/>
      <w:bookmarkStart w:id="3" w:name="_Toc184176484"/>
      <w:bookmarkStart w:id="4" w:name="_Toc238290496"/>
      <w:r>
        <w:rPr>
          <w:rFonts w:hint="eastAsia"/>
          <w:sz w:val="24"/>
        </w:rPr>
        <w:t>附：被授权人身份证件</w:t>
      </w:r>
    </w:p>
    <w:p>
      <w:pPr>
        <w:pStyle w:val="23"/>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1"/>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3"/>
              <w:rPr>
                <w:sz w:val="32"/>
              </w:rPr>
            </w:pPr>
            <w:bookmarkStart w:id="5" w:name="_Toc415124366"/>
            <w:bookmarkStart w:id="6" w:name="_Toc433037128"/>
            <w:bookmarkStart w:id="7" w:name="_Toc415124198"/>
            <w:bookmarkStart w:id="8" w:name="_Toc418491550"/>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3"/>
              <w:rPr>
                <w:sz w:val="32"/>
              </w:rPr>
            </w:pPr>
            <w:bookmarkStart w:id="9" w:name="_Toc415124367"/>
            <w:bookmarkStart w:id="10" w:name="_Toc415124199"/>
            <w:bookmarkStart w:id="11" w:name="_Toc433037129"/>
            <w:bookmarkStart w:id="12" w:name="_Toc418491551"/>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6"/>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rFonts w:hint="eastAsia"/>
          <w:bCs/>
          <w:sz w:val="28"/>
        </w:rPr>
      </w:pPr>
      <w:r>
        <w:rPr>
          <w:rFonts w:hint="eastAsia"/>
          <w:bCs/>
          <w:sz w:val="28"/>
        </w:rPr>
        <w:t>格式10  合同模板</w:t>
      </w:r>
    </w:p>
    <w:p>
      <w:pPr>
        <w:widowControl w:val="0"/>
        <w:adjustRightInd/>
        <w:snapToGrid/>
        <w:spacing w:after="0"/>
        <w:ind w:right="-512" w:rightChars="-244"/>
        <w:jc w:val="center"/>
        <w:rPr>
          <w:rFonts w:ascii="Times New Roman" w:hAnsi="Times New Roman" w:eastAsia="宋体"/>
          <w:b/>
          <w:bCs/>
          <w:kern w:val="2"/>
          <w:sz w:val="44"/>
          <w:szCs w:val="44"/>
        </w:rPr>
      </w:pPr>
      <w:r>
        <w:rPr>
          <w:rFonts w:ascii="Times New Roman" w:hAnsi="Times New Roman" w:eastAsia="宋体"/>
          <w:b/>
          <w:bCs/>
          <w:kern w:val="2"/>
          <w:sz w:val="44"/>
          <w:szCs w:val="44"/>
        </w:rPr>
        <w:t>合  同  书</w:t>
      </w:r>
    </w:p>
    <w:p>
      <w:pPr>
        <w:spacing w:line="400" w:lineRule="exact"/>
        <w:ind w:left="-357" w:leftChars="-256" w:hanging="181"/>
        <w:rPr>
          <w:rFonts w:ascii="Times New Roman" w:hAnsi="Times New Roman" w:eastAsia="宋体"/>
          <w:b/>
          <w:bCs/>
          <w:sz w:val="24"/>
        </w:rPr>
      </w:pPr>
      <w:r>
        <w:rPr>
          <w:rFonts w:ascii="Times New Roman" w:hAnsi="Times New Roman" w:eastAsia="宋体"/>
          <w:b/>
          <w:bCs/>
          <w:sz w:val="24"/>
        </w:rPr>
        <w:t xml:space="preserve">本合同项目名称：            </w:t>
      </w:r>
    </w:p>
    <w:p>
      <w:pPr>
        <w:spacing w:line="400" w:lineRule="exact"/>
        <w:ind w:left="-177" w:leftChars="-256" w:hanging="361"/>
        <w:rPr>
          <w:rFonts w:ascii="Times New Roman" w:hAnsi="Times New Roman" w:eastAsia="宋体"/>
          <w:b/>
          <w:bCs/>
          <w:sz w:val="24"/>
        </w:rPr>
      </w:pPr>
      <w:r>
        <w:rPr>
          <w:rFonts w:ascii="Times New Roman" w:hAnsi="Times New Roman" w:eastAsia="宋体"/>
          <w:b/>
          <w:bCs/>
          <w:sz w:val="24"/>
        </w:rPr>
        <w:t>甲方（需方）： 嘉庚创新实验室</w:t>
      </w:r>
    </w:p>
    <w:p>
      <w:pPr>
        <w:spacing w:line="400" w:lineRule="exact"/>
        <w:ind w:left="-177" w:leftChars="-256" w:hanging="361"/>
        <w:rPr>
          <w:rFonts w:ascii="Times New Roman" w:hAnsi="Times New Roman" w:eastAsia="宋体"/>
          <w:b/>
          <w:bCs/>
          <w:sz w:val="24"/>
        </w:rPr>
      </w:pPr>
      <w:r>
        <w:rPr>
          <w:rFonts w:ascii="Times New Roman" w:hAnsi="Times New Roman" w:eastAsia="宋体"/>
          <w:b/>
          <w:bCs/>
          <w:sz w:val="24"/>
        </w:rPr>
        <w:t>使用单位：</w:t>
      </w:r>
    </w:p>
    <w:p>
      <w:pPr>
        <w:spacing w:line="400" w:lineRule="exact"/>
        <w:ind w:left="-177" w:leftChars="-256" w:hanging="361"/>
        <w:rPr>
          <w:rFonts w:ascii="Times New Roman" w:hAnsi="Times New Roman" w:eastAsia="宋体"/>
          <w:b/>
          <w:bCs/>
          <w:sz w:val="24"/>
        </w:rPr>
      </w:pPr>
      <w:r>
        <w:rPr>
          <w:rFonts w:ascii="Times New Roman" w:hAnsi="Times New Roman" w:eastAsia="宋体"/>
          <w:b/>
          <w:bCs/>
          <w:sz w:val="24"/>
        </w:rPr>
        <w:t xml:space="preserve">乙方（供方）：   </w:t>
      </w:r>
    </w:p>
    <w:p>
      <w:pPr>
        <w:spacing w:line="400" w:lineRule="exact"/>
        <w:ind w:left="-328" w:leftChars="-156" w:firstLine="240" w:firstLineChars="100"/>
        <w:rPr>
          <w:rFonts w:ascii="Times New Roman" w:hAnsi="Times New Roman" w:eastAsia="宋体"/>
          <w:bCs/>
          <w:sz w:val="24"/>
        </w:rPr>
      </w:pPr>
      <w:r>
        <w:rPr>
          <w:rFonts w:ascii="Times New Roman" w:hAnsi="Times New Roman" w:eastAsia="宋体"/>
          <w:bCs/>
          <w:sz w:val="24"/>
          <w:u w:val="single"/>
        </w:rPr>
        <w:t>嘉庚创新实验室</w:t>
      </w:r>
      <w:r>
        <w:rPr>
          <w:rFonts w:ascii="Times New Roman" w:hAnsi="Times New Roman" w:eastAsia="宋体"/>
          <w:bCs/>
          <w:sz w:val="24"/>
        </w:rPr>
        <w:t>向</w:t>
      </w:r>
      <w:r>
        <w:rPr>
          <w:rFonts w:ascii="Times New Roman" w:hAnsi="Times New Roman" w:eastAsia="宋体"/>
          <w:bCs/>
          <w:sz w:val="24"/>
          <w:u w:val="single"/>
        </w:rPr>
        <w:t xml:space="preserve">             </w:t>
      </w:r>
      <w:r>
        <w:rPr>
          <w:rFonts w:ascii="Times New Roman" w:hAnsi="Times New Roman" w:eastAsia="宋体"/>
          <w:bCs/>
          <w:sz w:val="24"/>
        </w:rPr>
        <w:t>购买</w:t>
      </w:r>
      <w:r>
        <w:rPr>
          <w:rFonts w:ascii="Times New Roman" w:hAnsi="Times New Roman" w:eastAsia="宋体"/>
          <w:bCs/>
          <w:sz w:val="24"/>
          <w:u w:val="single"/>
        </w:rPr>
        <w:t xml:space="preserve">          </w:t>
      </w:r>
      <w:r>
        <w:rPr>
          <w:rFonts w:ascii="Times New Roman" w:hAnsi="Times New Roman" w:eastAsia="宋体"/>
          <w:bCs/>
          <w:sz w:val="24"/>
        </w:rPr>
        <w:t>。经双方协商，达成以下协议条款：</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一、项目内容（或项目内容详见合同清单附件）</w:t>
      </w:r>
    </w:p>
    <w:p>
      <w:pPr>
        <w:spacing w:line="400" w:lineRule="exact"/>
        <w:ind w:left="-177" w:leftChars="-256" w:hanging="361"/>
        <w:rPr>
          <w:rFonts w:ascii="Times New Roman" w:hAnsi="Times New Roman" w:eastAsia="宋体"/>
          <w:bCs/>
          <w:sz w:val="24"/>
        </w:rPr>
      </w:pPr>
      <w:r>
        <w:rPr>
          <w:rFonts w:ascii="Times New Roman" w:hAnsi="Times New Roman" w:eastAsia="宋体"/>
          <w:bCs/>
          <w:sz w:val="24"/>
        </w:rPr>
        <w:t xml:space="preserve">     1．甲方购买乙方货物壹批，清单如下。</w:t>
      </w:r>
    </w:p>
    <w:tbl>
      <w:tblPr>
        <w:tblStyle w:val="11"/>
        <w:tblW w:w="9496" w:type="dxa"/>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4"/>
        <w:gridCol w:w="1281"/>
        <w:gridCol w:w="854"/>
        <w:gridCol w:w="1253"/>
        <w:gridCol w:w="2849"/>
        <w:gridCol w:w="2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序号</w:t>
            </w:r>
          </w:p>
        </w:tc>
        <w:tc>
          <w:tcPr>
            <w:tcW w:w="1281"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名称</w:t>
            </w:r>
          </w:p>
        </w:tc>
        <w:tc>
          <w:tcPr>
            <w:tcW w:w="854"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数量</w:t>
            </w:r>
          </w:p>
        </w:tc>
        <w:tc>
          <w:tcPr>
            <w:tcW w:w="1253"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单价</w:t>
            </w:r>
          </w:p>
        </w:tc>
        <w:tc>
          <w:tcPr>
            <w:tcW w:w="2849" w:type="dxa"/>
            <w:tcBorders>
              <w:right w:val="single" w:color="auto" w:sz="4" w:space="0"/>
            </w:tcBorders>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规格型号/产品参数</w:t>
            </w:r>
          </w:p>
        </w:tc>
        <w:tc>
          <w:tcPr>
            <w:tcW w:w="2505" w:type="dxa"/>
            <w:tcBorders>
              <w:left w:val="single" w:color="auto" w:sz="4" w:space="0"/>
            </w:tcBorders>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备注（或图片）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754"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1</w:t>
            </w:r>
          </w:p>
        </w:tc>
        <w:tc>
          <w:tcPr>
            <w:tcW w:w="1281" w:type="dxa"/>
            <w:noWrap w:val="0"/>
            <w:vAlign w:val="top"/>
          </w:tcPr>
          <w:p>
            <w:pPr>
              <w:spacing w:line="460" w:lineRule="exact"/>
              <w:rPr>
                <w:rFonts w:ascii="Times New Roman" w:hAnsi="Times New Roman" w:eastAsia="宋体"/>
                <w:bCs/>
                <w:sz w:val="24"/>
              </w:rPr>
            </w:pPr>
          </w:p>
          <w:p>
            <w:pPr>
              <w:spacing w:line="460" w:lineRule="exact"/>
              <w:rPr>
                <w:rFonts w:ascii="Times New Roman" w:hAnsi="Times New Roman" w:eastAsia="宋体"/>
                <w:bCs/>
                <w:sz w:val="24"/>
              </w:rPr>
            </w:pPr>
          </w:p>
        </w:tc>
        <w:tc>
          <w:tcPr>
            <w:tcW w:w="854" w:type="dxa"/>
            <w:noWrap w:val="0"/>
            <w:vAlign w:val="top"/>
          </w:tcPr>
          <w:p>
            <w:pPr>
              <w:spacing w:line="460" w:lineRule="exact"/>
              <w:rPr>
                <w:rFonts w:ascii="Times New Roman" w:hAnsi="Times New Roman" w:eastAsia="宋体"/>
                <w:bCs/>
                <w:sz w:val="24"/>
              </w:rPr>
            </w:pPr>
          </w:p>
        </w:tc>
        <w:tc>
          <w:tcPr>
            <w:tcW w:w="1253" w:type="dxa"/>
            <w:noWrap w:val="0"/>
            <w:vAlign w:val="top"/>
          </w:tcPr>
          <w:p>
            <w:pPr>
              <w:spacing w:line="460" w:lineRule="exact"/>
              <w:rPr>
                <w:rFonts w:ascii="Times New Roman" w:hAnsi="Times New Roman" w:eastAsia="宋体"/>
                <w:bCs/>
                <w:sz w:val="24"/>
              </w:rPr>
            </w:pPr>
          </w:p>
        </w:tc>
        <w:tc>
          <w:tcPr>
            <w:tcW w:w="2849" w:type="dxa"/>
            <w:tcBorders>
              <w:right w:val="single" w:color="auto" w:sz="4" w:space="0"/>
            </w:tcBorders>
            <w:noWrap w:val="0"/>
            <w:vAlign w:val="top"/>
          </w:tcPr>
          <w:p>
            <w:pPr>
              <w:spacing w:line="460" w:lineRule="exact"/>
              <w:rPr>
                <w:rFonts w:ascii="Times New Roman" w:hAnsi="Times New Roman" w:eastAsia="宋体"/>
                <w:bCs/>
                <w:sz w:val="24"/>
              </w:rPr>
            </w:pPr>
          </w:p>
        </w:tc>
        <w:tc>
          <w:tcPr>
            <w:tcW w:w="2505" w:type="dxa"/>
            <w:tcBorders>
              <w:left w:val="single" w:color="auto" w:sz="4" w:space="0"/>
            </w:tcBorders>
            <w:noWrap w:val="0"/>
            <w:vAlign w:val="top"/>
          </w:tcPr>
          <w:p>
            <w:pPr>
              <w:spacing w:line="460" w:lineRule="exact"/>
              <w:rPr>
                <w:rFonts w:ascii="Times New Roman" w:hAnsi="Times New Roman"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2</w:t>
            </w:r>
          </w:p>
        </w:tc>
        <w:tc>
          <w:tcPr>
            <w:tcW w:w="1281" w:type="dxa"/>
            <w:noWrap w:val="0"/>
            <w:vAlign w:val="top"/>
          </w:tcPr>
          <w:p>
            <w:pPr>
              <w:spacing w:line="460" w:lineRule="exact"/>
              <w:rPr>
                <w:rFonts w:ascii="Times New Roman" w:hAnsi="Times New Roman" w:eastAsia="宋体"/>
                <w:bCs/>
                <w:sz w:val="24"/>
              </w:rPr>
            </w:pPr>
          </w:p>
          <w:p>
            <w:pPr>
              <w:spacing w:line="460" w:lineRule="exact"/>
              <w:rPr>
                <w:rFonts w:ascii="Times New Roman" w:hAnsi="Times New Roman" w:eastAsia="宋体"/>
                <w:bCs/>
                <w:sz w:val="24"/>
              </w:rPr>
            </w:pPr>
          </w:p>
        </w:tc>
        <w:tc>
          <w:tcPr>
            <w:tcW w:w="854" w:type="dxa"/>
            <w:noWrap w:val="0"/>
            <w:vAlign w:val="top"/>
          </w:tcPr>
          <w:p>
            <w:pPr>
              <w:spacing w:line="460" w:lineRule="exact"/>
              <w:rPr>
                <w:rFonts w:ascii="Times New Roman" w:hAnsi="Times New Roman" w:eastAsia="宋体"/>
                <w:bCs/>
                <w:sz w:val="24"/>
              </w:rPr>
            </w:pPr>
          </w:p>
        </w:tc>
        <w:tc>
          <w:tcPr>
            <w:tcW w:w="1253" w:type="dxa"/>
            <w:noWrap w:val="0"/>
            <w:vAlign w:val="top"/>
          </w:tcPr>
          <w:p>
            <w:pPr>
              <w:spacing w:line="460" w:lineRule="exact"/>
              <w:rPr>
                <w:rFonts w:ascii="Times New Roman" w:hAnsi="Times New Roman" w:eastAsia="宋体"/>
                <w:bCs/>
                <w:sz w:val="24"/>
              </w:rPr>
            </w:pPr>
          </w:p>
        </w:tc>
        <w:tc>
          <w:tcPr>
            <w:tcW w:w="2849" w:type="dxa"/>
            <w:tcBorders>
              <w:right w:val="single" w:color="auto" w:sz="4" w:space="0"/>
            </w:tcBorders>
            <w:noWrap w:val="0"/>
            <w:vAlign w:val="top"/>
          </w:tcPr>
          <w:p>
            <w:pPr>
              <w:spacing w:line="460" w:lineRule="exact"/>
              <w:rPr>
                <w:rFonts w:ascii="Times New Roman" w:hAnsi="Times New Roman" w:eastAsia="宋体"/>
                <w:bCs/>
                <w:sz w:val="24"/>
              </w:rPr>
            </w:pPr>
          </w:p>
        </w:tc>
        <w:tc>
          <w:tcPr>
            <w:tcW w:w="2505" w:type="dxa"/>
            <w:tcBorders>
              <w:left w:val="single" w:color="auto" w:sz="4" w:space="0"/>
            </w:tcBorders>
            <w:noWrap w:val="0"/>
            <w:vAlign w:val="top"/>
          </w:tcPr>
          <w:p>
            <w:pPr>
              <w:spacing w:line="460" w:lineRule="exact"/>
              <w:rPr>
                <w:rFonts w:ascii="Times New Roman" w:hAnsi="Times New Roman"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96" w:type="dxa"/>
            <w:gridSpan w:val="6"/>
            <w:noWrap w:val="0"/>
            <w:vAlign w:val="top"/>
          </w:tcPr>
          <w:p>
            <w:pPr>
              <w:spacing w:line="460" w:lineRule="exact"/>
              <w:rPr>
                <w:rFonts w:ascii="Times New Roman" w:hAnsi="Times New Roman" w:eastAsia="宋体"/>
                <w:bCs/>
                <w:sz w:val="24"/>
              </w:rPr>
            </w:pPr>
            <w:r>
              <w:rPr>
                <w:rFonts w:ascii="Times New Roman" w:hAnsi="Times New Roman" w:eastAsia="宋体"/>
                <w:bCs/>
                <w:sz w:val="24"/>
              </w:rPr>
              <w:t xml:space="preserve">总计：大写         ￥         </w:t>
            </w:r>
          </w:p>
        </w:tc>
      </w:tr>
    </w:tbl>
    <w:p>
      <w:pPr>
        <w:spacing w:line="400" w:lineRule="exact"/>
        <w:ind w:left="-177" w:leftChars="-256" w:hanging="361"/>
        <w:rPr>
          <w:rFonts w:ascii="Times New Roman" w:hAnsi="Times New Roman" w:eastAsia="宋体"/>
          <w:bCs/>
          <w:sz w:val="24"/>
        </w:rPr>
      </w:pPr>
      <w:r>
        <w:rPr>
          <w:rFonts w:ascii="Times New Roman" w:hAnsi="Times New Roman" w:eastAsia="宋体"/>
          <w:bCs/>
          <w:sz w:val="24"/>
        </w:rPr>
        <w:t xml:space="preserve">     2．合同总金额（人民币大写）：</w:t>
      </w:r>
      <w:r>
        <w:rPr>
          <w:rFonts w:ascii="Times New Roman" w:hAnsi="Times New Roman" w:eastAsia="宋体"/>
          <w:bCs/>
          <w:sz w:val="24"/>
          <w:u w:val="single"/>
        </w:rPr>
        <w:t xml:space="preserve">       </w:t>
      </w:r>
      <w:r>
        <w:rPr>
          <w:rFonts w:ascii="Times New Roman" w:hAnsi="Times New Roman" w:eastAsia="宋体"/>
          <w:bCs/>
          <w:sz w:val="24"/>
        </w:rPr>
        <w:t>元整（￥</w:t>
      </w:r>
      <w:r>
        <w:rPr>
          <w:rFonts w:ascii="Times New Roman" w:hAnsi="Times New Roman" w:eastAsia="宋体"/>
          <w:bCs/>
          <w:sz w:val="24"/>
          <w:u w:val="single"/>
        </w:rPr>
        <w:t xml:space="preserve">       </w:t>
      </w:r>
      <w:r>
        <w:rPr>
          <w:rFonts w:ascii="Times New Roman" w:hAnsi="Times New Roman" w:eastAsia="宋体"/>
          <w:bCs/>
          <w:sz w:val="24"/>
        </w:rPr>
        <w:t>），此价为安装验收合格后的含增值税</w:t>
      </w:r>
      <w:r>
        <w:rPr>
          <w:rFonts w:ascii="Times New Roman" w:hAnsi="Times New Roman" w:eastAsia="宋体"/>
          <w:bCs/>
          <w:sz w:val="24"/>
          <w:u w:val="single"/>
        </w:rPr>
        <w:t xml:space="preserve">     </w:t>
      </w:r>
      <w:r>
        <w:rPr>
          <w:rFonts w:ascii="Times New Roman" w:hAnsi="Times New Roman" w:eastAsia="宋体"/>
          <w:bCs/>
          <w:sz w:val="24"/>
        </w:rPr>
        <w:t>（专用/普通）发票，税率为</w:t>
      </w:r>
      <w:r>
        <w:rPr>
          <w:rFonts w:ascii="Times New Roman" w:hAnsi="Times New Roman" w:eastAsia="宋体"/>
          <w:bCs/>
          <w:sz w:val="24"/>
          <w:u w:val="single"/>
        </w:rPr>
        <w:t xml:space="preserve">     </w:t>
      </w:r>
      <w:r>
        <w:rPr>
          <w:rFonts w:ascii="Times New Roman" w:hAnsi="Times New Roman" w:eastAsia="宋体"/>
          <w:bCs/>
          <w:sz w:val="24"/>
        </w:rPr>
        <w:t>。含运费价，最后以实际验收规格数量结算。</w:t>
      </w:r>
    </w:p>
    <w:p>
      <w:pPr>
        <w:spacing w:line="400" w:lineRule="exact"/>
        <w:ind w:left="-177" w:leftChars="-256" w:hanging="361"/>
        <w:rPr>
          <w:rFonts w:ascii="Times New Roman" w:hAnsi="Times New Roman" w:eastAsia="宋体"/>
          <w:b/>
          <w:bCs/>
          <w:sz w:val="24"/>
        </w:rPr>
      </w:pPr>
      <w:r>
        <w:rPr>
          <w:rFonts w:ascii="Times New Roman" w:hAnsi="Times New Roman" w:eastAsia="宋体"/>
          <w:bCs/>
          <w:sz w:val="24"/>
        </w:rPr>
        <w:t xml:space="preserve">  </w:t>
      </w:r>
      <w:r>
        <w:rPr>
          <w:rFonts w:ascii="Times New Roman" w:hAnsi="Times New Roman" w:eastAsia="宋体"/>
          <w:b/>
          <w:bCs/>
          <w:sz w:val="24"/>
        </w:rPr>
        <w:t xml:space="preserve">  二、交货与验收</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1．交货时间：</w:t>
      </w:r>
    </w:p>
    <w:p>
      <w:pPr>
        <w:spacing w:line="400" w:lineRule="exact"/>
        <w:ind w:left="-538" w:leftChars="-256"/>
        <w:rPr>
          <w:rFonts w:ascii="Times New Roman" w:hAnsi="Times New Roman" w:eastAsia="宋体"/>
          <w:bCs/>
          <w:sz w:val="24"/>
        </w:rPr>
      </w:pPr>
      <w:r>
        <w:rPr>
          <w:rFonts w:ascii="Times New Roman" w:hAnsi="Times New Roman" w:eastAsia="宋体"/>
          <w:bCs/>
          <w:sz w:val="24"/>
        </w:rPr>
        <w:t>合同签订后</w:t>
      </w:r>
      <w:r>
        <w:rPr>
          <w:rFonts w:ascii="Times New Roman" w:hAnsi="Times New Roman" w:eastAsia="宋体"/>
          <w:bCs/>
          <w:sz w:val="24"/>
          <w:u w:val="single"/>
        </w:rPr>
        <w:t xml:space="preserve">      </w:t>
      </w:r>
      <w:r>
        <w:rPr>
          <w:rFonts w:ascii="Times New Roman" w:hAnsi="Times New Roman" w:eastAsia="宋体"/>
          <w:bCs/>
          <w:sz w:val="24"/>
        </w:rPr>
        <w:t>日内将设备送至交货地点，并免费进行安装、调试及培训，直到交付使用。若由甲方原因造成项目推迟，则双方重新商定交货时间，乙方自行承担仓储费及其他费用。</w:t>
      </w:r>
    </w:p>
    <w:p>
      <w:pPr>
        <w:spacing w:line="400" w:lineRule="exact"/>
        <w:ind w:left="-177" w:leftChars="-256" w:hanging="361"/>
        <w:rPr>
          <w:rFonts w:ascii="Times New Roman" w:hAnsi="Times New Roman" w:eastAsia="宋体"/>
          <w:bCs/>
          <w:sz w:val="24"/>
        </w:rPr>
      </w:pPr>
      <w:r>
        <w:rPr>
          <w:rFonts w:ascii="Times New Roman" w:hAnsi="Times New Roman" w:eastAsia="宋体"/>
          <w:bCs/>
          <w:sz w:val="24"/>
        </w:rPr>
        <w:t xml:space="preserve">     2．交货地点：厦门大学翔安校区</w:t>
      </w:r>
      <w:r>
        <w:rPr>
          <w:rFonts w:ascii="Times New Roman" w:hAnsi="Times New Roman" w:eastAsia="宋体"/>
          <w:bCs/>
          <w:sz w:val="24"/>
          <w:u w:val="single"/>
        </w:rPr>
        <w:t xml:space="preserve">       </w:t>
      </w:r>
      <w:r>
        <w:rPr>
          <w:rFonts w:ascii="Times New Roman" w:hAnsi="Times New Roman" w:eastAsia="宋体"/>
          <w:bCs/>
          <w:sz w:val="24"/>
        </w:rPr>
        <w:t>楼</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3．验收方式：所有货物到货10个工作日内，由使用方负责组织验收。</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三、付款方式</w:t>
      </w:r>
    </w:p>
    <w:p>
      <w:pPr>
        <w:spacing w:line="400" w:lineRule="exact"/>
        <w:ind w:left="-538" w:leftChars="-256" w:firstLine="480"/>
        <w:rPr>
          <w:rFonts w:ascii="Times New Roman" w:hAnsi="Times New Roman" w:eastAsia="宋体"/>
          <w:bCs/>
          <w:sz w:val="24"/>
        </w:rPr>
      </w:pPr>
      <w:r>
        <w:rPr>
          <w:rFonts w:ascii="Times New Roman" w:hAnsi="Times New Roman" w:eastAsia="宋体"/>
          <w:bCs/>
          <w:sz w:val="24"/>
        </w:rPr>
        <w:t>1．</w:t>
      </w:r>
      <w:r>
        <w:rPr>
          <w:rFonts w:ascii="Times New Roman" w:hAnsi="Times New Roman" w:eastAsia="宋体"/>
          <w:bCs/>
          <w:sz w:val="24"/>
          <w:highlight w:val="none"/>
        </w:rPr>
        <w:t>全部货物验收合格，乙方提供100%增值税专用发票后的15个工作日内，甲方一次性付清合同总金额100%，即人民币</w:t>
      </w:r>
      <w:r>
        <w:rPr>
          <w:rFonts w:ascii="Times New Roman" w:hAnsi="Times New Roman" w:eastAsia="宋体"/>
          <w:bCs/>
          <w:sz w:val="24"/>
          <w:highlight w:val="none"/>
          <w:u w:val="single"/>
        </w:rPr>
        <w:t xml:space="preserve">         </w:t>
      </w:r>
      <w:r>
        <w:rPr>
          <w:rFonts w:ascii="Times New Roman" w:hAnsi="Times New Roman" w:eastAsia="宋体"/>
          <w:bCs/>
          <w:sz w:val="24"/>
          <w:highlight w:val="none"/>
        </w:rPr>
        <w:t>元整大写</w:t>
      </w:r>
      <w:r>
        <w:rPr>
          <w:rFonts w:ascii="Times New Roman" w:hAnsi="Times New Roman" w:eastAsia="宋体"/>
          <w:bCs/>
          <w:sz w:val="24"/>
          <w:highlight w:val="none"/>
          <w:u w:val="single"/>
        </w:rPr>
        <w:t xml:space="preserve">      </w:t>
      </w:r>
      <w:r>
        <w:rPr>
          <w:rFonts w:ascii="Times New Roman" w:hAnsi="Times New Roman" w:eastAsia="宋体"/>
          <w:bCs/>
          <w:sz w:val="24"/>
          <w:highlight w:val="none"/>
        </w:rPr>
        <w:t>元整。</w:t>
      </w:r>
    </w:p>
    <w:p>
      <w:pPr>
        <w:spacing w:line="400" w:lineRule="exact"/>
        <w:ind w:left="-538" w:leftChars="-256" w:firstLine="480"/>
        <w:rPr>
          <w:rFonts w:ascii="Times New Roman" w:hAnsi="Times New Roman" w:eastAsia="宋体"/>
          <w:bCs/>
          <w:sz w:val="24"/>
        </w:rPr>
      </w:pPr>
      <w:r>
        <w:rPr>
          <w:rFonts w:ascii="Times New Roman" w:hAnsi="Times New Roman" w:eastAsia="宋体"/>
          <w:bCs/>
          <w:sz w:val="24"/>
        </w:rPr>
        <w:t>2．付款方式为甲方转账给乙方指定的银行账户。</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四、甲方责任和义务</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甲方按本合同条款及时验收及付款。</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五、乙方责任和义务</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1．质量保证：乙方对产品质量实行三包，所有货物保用</w:t>
      </w:r>
      <w:r>
        <w:rPr>
          <w:rFonts w:ascii="Times New Roman" w:hAnsi="Times New Roman" w:eastAsia="宋体"/>
          <w:bCs/>
          <w:sz w:val="24"/>
          <w:u w:val="single"/>
        </w:rPr>
        <w:t xml:space="preserve">    </w:t>
      </w:r>
      <w:r>
        <w:rPr>
          <w:rFonts w:ascii="Times New Roman" w:hAnsi="Times New Roman" w:eastAsia="宋体"/>
          <w:bCs/>
          <w:sz w:val="24"/>
        </w:rPr>
        <w:t>年。在保用期</w:t>
      </w:r>
      <w:r>
        <w:rPr>
          <w:rFonts w:ascii="Times New Roman" w:hAnsi="Times New Roman" w:eastAsia="宋体"/>
          <w:bCs/>
          <w:sz w:val="24"/>
          <w:u w:val="single"/>
        </w:rPr>
        <w:t xml:space="preserve">  </w:t>
      </w:r>
      <w:r>
        <w:rPr>
          <w:rFonts w:ascii="Times New Roman" w:hAnsi="Times New Roman" w:eastAsia="宋体"/>
          <w:bCs/>
          <w:sz w:val="24"/>
        </w:rPr>
        <w:t>年内，定期派人上门检查，保用期内所出现的产品质量问题，乙方应无偿进行免费更换及维修。</w:t>
      </w:r>
    </w:p>
    <w:p>
      <w:pPr>
        <w:spacing w:line="400" w:lineRule="exact"/>
        <w:ind w:left="-538" w:leftChars="-256" w:firstLine="480"/>
        <w:rPr>
          <w:rFonts w:ascii="Times New Roman" w:hAnsi="Times New Roman" w:eastAsia="宋体"/>
          <w:bCs/>
          <w:sz w:val="24"/>
        </w:rPr>
      </w:pPr>
      <w:r>
        <w:rPr>
          <w:rFonts w:ascii="Times New Roman" w:hAnsi="Times New Roman" w:eastAsia="宋体"/>
          <w:bCs/>
          <w:sz w:val="24"/>
        </w:rPr>
        <w:t>2．在产品使用过程中，乙方对甲方依照本合同提出的保修等要求，应在24小时内响应并修复完毕，无法修复的提供同等样品的备用品。</w:t>
      </w:r>
    </w:p>
    <w:p>
      <w:pPr>
        <w:spacing w:line="400" w:lineRule="exact"/>
        <w:ind w:left="-538" w:leftChars="-256" w:firstLine="480"/>
        <w:rPr>
          <w:rFonts w:ascii="Times New Roman" w:hAnsi="Times New Roman" w:eastAsia="宋体"/>
          <w:bCs/>
          <w:sz w:val="24"/>
        </w:rPr>
      </w:pPr>
      <w:r>
        <w:rPr>
          <w:rFonts w:ascii="Times New Roman" w:hAnsi="Times New Roman" w:eastAsia="宋体"/>
          <w:bCs/>
          <w:sz w:val="24"/>
        </w:rPr>
        <w:t>3．乙方在保用期内对货物提供免费更换及维修，并承诺终身维修。保用期后维修仅收取零部件费用。</w:t>
      </w:r>
    </w:p>
    <w:p>
      <w:pPr>
        <w:spacing w:line="400" w:lineRule="exact"/>
        <w:ind w:left="-538" w:leftChars="-256" w:firstLine="480"/>
        <w:rPr>
          <w:rFonts w:ascii="Times New Roman" w:hAnsi="Times New Roman" w:eastAsia="宋体"/>
          <w:bCs/>
          <w:sz w:val="24"/>
        </w:rPr>
      </w:pPr>
      <w:r>
        <w:rPr>
          <w:rFonts w:ascii="Times New Roman" w:hAnsi="Times New Roman" w:eastAsia="宋体"/>
          <w:bCs/>
          <w:sz w:val="24"/>
        </w:rPr>
        <w:t>4．保修期过后，甲方向乙方购置本合同购买货物的配套配件时，乙方应按   %折扣优惠出售。</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六、违约责任</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1．若乙方提供产品经验收不合格，甲方有权要求乙方整改或退回不合格产品，由此造成甲方的损失由乙方负责。</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2．乙方交货每逾期壹天，按该批应交货物总金额的1‰赔偿给甲方，由此引起的一切损失，由乙方负责，</w:t>
      </w:r>
      <w:r>
        <w:rPr>
          <w:rFonts w:ascii="Times New Roman" w:hAnsi="Times New Roman" w:eastAsia="宋体"/>
          <w:bCs/>
          <w:sz w:val="24"/>
          <w:highlight w:val="none"/>
        </w:rPr>
        <w:t>逾期</w:t>
      </w:r>
      <w:r>
        <w:rPr>
          <w:rFonts w:ascii="Times New Roman" w:hAnsi="Times New Roman" w:eastAsia="宋体"/>
          <w:bCs/>
          <w:sz w:val="24"/>
          <w:highlight w:val="none"/>
          <w:u w:val="single"/>
        </w:rPr>
        <w:t>10</w:t>
      </w:r>
      <w:r>
        <w:rPr>
          <w:rFonts w:ascii="Times New Roman" w:hAnsi="Times New Roman" w:eastAsia="宋体"/>
          <w:bCs/>
          <w:sz w:val="24"/>
          <w:highlight w:val="none"/>
        </w:rPr>
        <w:t>日的</w:t>
      </w:r>
      <w:r>
        <w:rPr>
          <w:rFonts w:ascii="Times New Roman" w:hAnsi="Times New Roman" w:eastAsia="宋体"/>
          <w:bCs/>
          <w:sz w:val="24"/>
        </w:rPr>
        <w:t>，甲方有权单方解除本协议，一切因乙方不履行协议或逾期履行协议所致之损失均由乙方承担。</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3. 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七、其它条款</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1．乙方应做好生产、运输、拆卸、安装、调试等安全管理工作，为相关人员、设备、车辆购买保险，如果在全部货物调试完毕交付甲方使用之前发生任何安全责任事故，乙方须承担全部责任，与甲方无关。</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2．合同履行过程中若发生争议，采取协商解决，若协商不成时向甲方所在地人民法院提起诉讼。</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3．本合同条款未尽事宜遵照有关法律、法规执行。</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4．合同清单为合同的附件具有同等法律效力。</w:t>
      </w:r>
    </w:p>
    <w:p>
      <w:pPr>
        <w:pStyle w:val="4"/>
        <w:spacing w:line="460" w:lineRule="exact"/>
        <w:ind w:left="312" w:leftChars="-122" w:hanging="568" w:hangingChars="200"/>
        <w:outlineLvl w:val="0"/>
        <w:rPr>
          <w:rFonts w:ascii="Times New Roman" w:hAnsi="Times New Roman" w:eastAsia="宋体"/>
          <w:bCs/>
          <w:sz w:val="24"/>
        </w:rPr>
      </w:pPr>
      <w:r>
        <w:rPr>
          <w:rFonts w:ascii="Times New Roman" w:hAnsi="Times New Roman" w:eastAsia="宋体"/>
          <w:bCs/>
          <w:sz w:val="24"/>
        </w:rPr>
        <w:t xml:space="preserve">  5. 本合同壹式贰份。甲、乙双方各执壹份且具有同等法律效力。</w:t>
      </w:r>
    </w:p>
    <w:p>
      <w:pPr>
        <w:spacing w:line="460" w:lineRule="exact"/>
        <w:ind w:left="-179" w:leftChars="-257" w:hanging="361"/>
        <w:rPr>
          <w:rFonts w:ascii="Times New Roman" w:hAnsi="Times New Roman" w:eastAsia="宋体"/>
          <w:bCs/>
          <w:sz w:val="24"/>
        </w:rPr>
      </w:pP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甲方：嘉庚创新实验室                    乙方：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签约代表：                              代表：</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开户行：工行厦门厦大支行                开户行：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纳税人识别号：12350000MB1C15088Q        账号：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合同邮寄地址：厦门大学翔安校区能源      地址：</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材料大楼3404室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电话：0592-2882502                      移动电话: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                                        电话： </w:t>
      </w:r>
    </w:p>
    <w:p>
      <w:pPr>
        <w:spacing w:line="460" w:lineRule="exact"/>
        <w:ind w:left="-330" w:leftChars="-157" w:firstLine="4320" w:firstLineChars="1800"/>
        <w:rPr>
          <w:rFonts w:ascii="Times New Roman" w:hAnsi="Times New Roman" w:eastAsia="宋体"/>
          <w:bCs/>
          <w:sz w:val="24"/>
        </w:rPr>
      </w:pPr>
      <w:r>
        <w:rPr>
          <w:rFonts w:ascii="Times New Roman" w:hAnsi="Times New Roman" w:eastAsia="宋体"/>
          <w:bCs/>
          <w:sz w:val="24"/>
        </w:rPr>
        <w:t xml:space="preserve">  传真：</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                                        移动电话：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使用方：</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使用方代表及电话：</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收货地址：</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本合同签订日期：202  年  月  日</w:t>
      </w:r>
    </w:p>
    <w:p>
      <w:pPr>
        <w:spacing w:line="460" w:lineRule="exact"/>
        <w:ind w:left="-179" w:leftChars="-257" w:hanging="361"/>
        <w:jc w:val="left"/>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rPr>
          <w:b/>
          <w:bCs/>
          <w:color w:val="000000"/>
          <w:sz w:val="28"/>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widowControl/>
        <w:jc w:val="left"/>
        <w:rPr>
          <w:sz w:val="24"/>
        </w:rPr>
      </w:pPr>
      <w:r>
        <w:rPr>
          <w:sz w:val="24"/>
        </w:rPr>
        <w:br w:type="page"/>
      </w:r>
    </w:p>
    <w:p>
      <w:pPr>
        <w:spacing w:line="360" w:lineRule="auto"/>
        <w:jc w:val="left"/>
        <w:rPr>
          <w:sz w:val="24"/>
        </w:rPr>
      </w:pPr>
      <w:r>
        <w:rPr>
          <w:rFonts w:hint="eastAsia"/>
          <w:sz w:val="24"/>
        </w:rPr>
        <w:t xml:space="preserve">附件1 </w:t>
      </w:r>
      <w:r>
        <w:rPr>
          <w:sz w:val="24"/>
        </w:rPr>
        <w:t xml:space="preserve">  </w:t>
      </w:r>
    </w:p>
    <w:p>
      <w:pPr>
        <w:pStyle w:val="19"/>
        <w:rPr>
          <w:rFonts w:hint="eastAsia" w:ascii="宋体" w:hAnsi="宋体" w:eastAsia="宋体" w:cs="宋体"/>
          <w:sz w:val="24"/>
          <w:szCs w:val="24"/>
        </w:rPr>
      </w:pPr>
      <w:r>
        <w:rPr>
          <w:rFonts w:hint="eastAsia" w:ascii="宋体" w:hAnsi="宋体" w:eastAsia="宋体" w:cs="宋体"/>
          <w:sz w:val="24"/>
          <w:szCs w:val="24"/>
        </w:rPr>
        <w:t>氢气纯化器参数要求</w:t>
      </w:r>
    </w:p>
    <w:p>
      <w:pPr>
        <w:pStyle w:val="21"/>
        <w:widowControl/>
        <w:numPr>
          <w:ilvl w:val="3"/>
          <w:numId w:val="9"/>
        </w:numPr>
        <w:spacing w:line="360" w:lineRule="auto"/>
        <w:ind w:left="420" w:firstLineChars="0"/>
        <w:jc w:val="left"/>
        <w:rPr>
          <w:rFonts w:hint="eastAsia" w:ascii="宋体" w:hAnsi="宋体" w:eastAsia="宋体" w:cs="宋体"/>
          <w:sz w:val="24"/>
          <w:szCs w:val="24"/>
        </w:rPr>
      </w:pPr>
      <w:r>
        <w:rPr>
          <w:rFonts w:hint="eastAsia" w:ascii="宋体" w:hAnsi="宋体" w:eastAsia="宋体" w:cs="宋体"/>
          <w:sz w:val="24"/>
          <w:szCs w:val="24"/>
        </w:rPr>
        <w:t>额定气体流量：20 Nm3/h；</w:t>
      </w:r>
    </w:p>
    <w:p>
      <w:pPr>
        <w:pStyle w:val="21"/>
        <w:widowControl/>
        <w:numPr>
          <w:ilvl w:val="3"/>
          <w:numId w:val="9"/>
        </w:numPr>
        <w:spacing w:line="360" w:lineRule="auto"/>
        <w:ind w:left="420" w:firstLineChars="0"/>
        <w:jc w:val="left"/>
        <w:rPr>
          <w:rFonts w:hint="eastAsia" w:ascii="宋体" w:hAnsi="宋体" w:eastAsia="宋体" w:cs="宋体"/>
          <w:sz w:val="24"/>
          <w:szCs w:val="24"/>
        </w:rPr>
      </w:pPr>
      <w:r>
        <w:rPr>
          <w:rFonts w:hint="eastAsia" w:ascii="宋体" w:hAnsi="宋体" w:eastAsia="宋体" w:cs="宋体"/>
          <w:sz w:val="24"/>
          <w:szCs w:val="24"/>
        </w:rPr>
        <w:t>最大气体压力：1.0MPa；</w:t>
      </w:r>
    </w:p>
    <w:p>
      <w:pPr>
        <w:pStyle w:val="21"/>
        <w:widowControl/>
        <w:numPr>
          <w:ilvl w:val="3"/>
          <w:numId w:val="9"/>
        </w:numPr>
        <w:spacing w:line="360" w:lineRule="auto"/>
        <w:ind w:left="420" w:firstLineChars="0"/>
        <w:jc w:val="left"/>
        <w:rPr>
          <w:rFonts w:hint="eastAsia" w:ascii="宋体" w:hAnsi="宋体" w:eastAsia="宋体" w:cs="宋体"/>
          <w:sz w:val="24"/>
          <w:szCs w:val="24"/>
        </w:rPr>
      </w:pPr>
      <w:r>
        <w:rPr>
          <w:rFonts w:hint="eastAsia" w:ascii="宋体" w:hAnsi="宋体" w:eastAsia="宋体" w:cs="宋体"/>
          <w:sz w:val="24"/>
          <w:szCs w:val="24"/>
        </w:rPr>
        <w:t>最大气体压差：0.1MPa；</w:t>
      </w:r>
    </w:p>
    <w:p>
      <w:pPr>
        <w:pStyle w:val="21"/>
        <w:widowControl/>
        <w:numPr>
          <w:ilvl w:val="3"/>
          <w:numId w:val="9"/>
        </w:numPr>
        <w:spacing w:line="360" w:lineRule="auto"/>
        <w:ind w:left="420" w:firstLineChars="0"/>
        <w:jc w:val="left"/>
        <w:rPr>
          <w:rFonts w:hint="eastAsia" w:ascii="宋体" w:hAnsi="宋体" w:eastAsia="宋体" w:cs="宋体"/>
          <w:sz w:val="24"/>
          <w:szCs w:val="24"/>
        </w:rPr>
      </w:pPr>
      <w:r>
        <w:rPr>
          <w:rFonts w:hint="eastAsia" w:ascii="宋体" w:hAnsi="宋体" w:eastAsia="宋体" w:cs="宋体"/>
          <w:sz w:val="24"/>
          <w:szCs w:val="24"/>
        </w:rPr>
        <w:t>进气纯度：99.999%（5N）；</w:t>
      </w:r>
    </w:p>
    <w:p>
      <w:pPr>
        <w:pStyle w:val="21"/>
        <w:widowControl/>
        <w:numPr>
          <w:ilvl w:val="3"/>
          <w:numId w:val="9"/>
        </w:numPr>
        <w:spacing w:line="360" w:lineRule="auto"/>
        <w:ind w:left="420" w:firstLineChars="0"/>
        <w:jc w:val="left"/>
        <w:rPr>
          <w:rFonts w:hint="eastAsia" w:ascii="宋体" w:hAnsi="宋体" w:eastAsia="宋体" w:cs="宋体"/>
          <w:sz w:val="24"/>
          <w:szCs w:val="24"/>
        </w:rPr>
      </w:pPr>
      <w:r>
        <w:rPr>
          <w:rFonts w:hint="eastAsia" w:ascii="宋体" w:hAnsi="宋体" w:eastAsia="宋体" w:cs="宋体"/>
          <w:sz w:val="24"/>
          <w:szCs w:val="24"/>
        </w:rPr>
        <w:t>出气纯度：99.9999999%（9N）,H2O,O2,CO,CO2,N2,NMHC 等分项含量小于 1ppb；</w:t>
      </w:r>
    </w:p>
    <w:p>
      <w:pPr>
        <w:pStyle w:val="21"/>
        <w:widowControl/>
        <w:numPr>
          <w:ilvl w:val="3"/>
          <w:numId w:val="9"/>
        </w:numPr>
        <w:spacing w:line="360" w:lineRule="auto"/>
        <w:ind w:left="420" w:firstLineChars="0"/>
        <w:jc w:val="left"/>
        <w:rPr>
          <w:rFonts w:hint="eastAsia" w:ascii="宋体" w:hAnsi="宋体" w:eastAsia="宋体" w:cs="宋体"/>
          <w:sz w:val="24"/>
          <w:szCs w:val="24"/>
        </w:rPr>
      </w:pPr>
      <w:r>
        <w:rPr>
          <w:rFonts w:hint="eastAsia" w:ascii="宋体" w:hAnsi="宋体" w:eastAsia="宋体" w:cs="宋体"/>
          <w:sz w:val="24"/>
          <w:szCs w:val="24"/>
        </w:rPr>
        <w:t>内置颗粒过滤器（≦0.003 微米）；</w:t>
      </w:r>
    </w:p>
    <w:p>
      <w:pPr>
        <w:pStyle w:val="21"/>
        <w:widowControl/>
        <w:numPr>
          <w:ilvl w:val="3"/>
          <w:numId w:val="9"/>
        </w:numPr>
        <w:spacing w:line="360" w:lineRule="auto"/>
        <w:ind w:left="420" w:firstLineChars="0"/>
        <w:jc w:val="left"/>
        <w:rPr>
          <w:rFonts w:hint="eastAsia" w:ascii="宋体" w:hAnsi="宋体" w:eastAsia="宋体" w:cs="宋体"/>
          <w:sz w:val="24"/>
          <w:szCs w:val="24"/>
        </w:rPr>
      </w:pPr>
      <w:r>
        <w:rPr>
          <w:rFonts w:hint="eastAsia" w:ascii="宋体" w:hAnsi="宋体" w:eastAsia="宋体" w:cs="宋体"/>
          <w:sz w:val="24"/>
          <w:szCs w:val="24"/>
        </w:rPr>
        <w:t>采用前级常温吸附剂+后级高温吸气剂Getter设计，前级能先把原料气中的常规杂质去除（H2O, O2, CO, CO2等），且前级具有原位再生功能，后级能把常温去除不了的杂质（例如CH4, N2）去除；</w:t>
      </w:r>
    </w:p>
    <w:p>
      <w:pPr>
        <w:pStyle w:val="21"/>
        <w:widowControl/>
        <w:numPr>
          <w:ilvl w:val="3"/>
          <w:numId w:val="9"/>
        </w:numPr>
        <w:spacing w:line="360" w:lineRule="auto"/>
        <w:ind w:left="420" w:firstLineChars="0"/>
        <w:jc w:val="left"/>
        <w:rPr>
          <w:rFonts w:hint="eastAsia" w:ascii="宋体" w:hAnsi="宋体" w:eastAsia="宋体" w:cs="宋体"/>
          <w:sz w:val="24"/>
          <w:szCs w:val="24"/>
        </w:rPr>
      </w:pPr>
      <w:r>
        <w:rPr>
          <w:rFonts w:hint="eastAsia" w:ascii="宋体" w:hAnsi="宋体" w:eastAsia="宋体" w:cs="宋体"/>
          <w:sz w:val="24"/>
          <w:szCs w:val="24"/>
        </w:rPr>
        <w:t>纯化单元使用寿命不低于5年；</w:t>
      </w:r>
    </w:p>
    <w:p>
      <w:pPr>
        <w:pStyle w:val="21"/>
        <w:widowControl/>
        <w:numPr>
          <w:ilvl w:val="3"/>
          <w:numId w:val="9"/>
        </w:numPr>
        <w:spacing w:line="360" w:lineRule="auto"/>
        <w:ind w:left="420" w:firstLineChars="0"/>
        <w:jc w:val="left"/>
        <w:rPr>
          <w:rFonts w:hint="eastAsia" w:ascii="宋体" w:hAnsi="宋体" w:eastAsia="宋体" w:cs="宋体"/>
          <w:sz w:val="24"/>
          <w:szCs w:val="24"/>
        </w:rPr>
      </w:pPr>
      <w:r>
        <w:rPr>
          <w:rFonts w:hint="eastAsia" w:ascii="宋体" w:hAnsi="宋体" w:eastAsia="宋体" w:cs="宋体"/>
          <w:sz w:val="24"/>
          <w:szCs w:val="24"/>
        </w:rPr>
        <w:t>后级Getter单元饱和后更换费用不得超过整机价格的35%；</w:t>
      </w:r>
    </w:p>
    <w:p>
      <w:pPr>
        <w:pStyle w:val="21"/>
        <w:widowControl/>
        <w:numPr>
          <w:ilvl w:val="3"/>
          <w:numId w:val="9"/>
        </w:numPr>
        <w:spacing w:line="360" w:lineRule="auto"/>
        <w:ind w:left="420" w:firstLineChars="0"/>
        <w:jc w:val="left"/>
        <w:rPr>
          <w:rFonts w:hint="eastAsia" w:ascii="宋体" w:hAnsi="宋体" w:eastAsia="宋体" w:cs="宋体"/>
          <w:sz w:val="24"/>
          <w:szCs w:val="24"/>
        </w:rPr>
      </w:pPr>
      <w:r>
        <w:rPr>
          <w:rFonts w:hint="eastAsia" w:ascii="宋体" w:hAnsi="宋体" w:eastAsia="宋体" w:cs="宋体"/>
          <w:sz w:val="24"/>
          <w:szCs w:val="24"/>
        </w:rPr>
        <w:t>质保期不低于2年；</w:t>
      </w:r>
    </w:p>
    <w:p>
      <w:pPr>
        <w:pStyle w:val="21"/>
        <w:widowControl/>
        <w:numPr>
          <w:ilvl w:val="3"/>
          <w:numId w:val="9"/>
        </w:numPr>
        <w:spacing w:line="360" w:lineRule="auto"/>
        <w:ind w:left="420" w:firstLineChars="0"/>
        <w:jc w:val="left"/>
        <w:rPr>
          <w:rFonts w:hint="eastAsia" w:ascii="宋体" w:hAnsi="宋体" w:eastAsia="宋体" w:cs="宋体"/>
          <w:sz w:val="24"/>
          <w:szCs w:val="24"/>
        </w:rPr>
      </w:pPr>
      <w:r>
        <w:rPr>
          <w:rFonts w:hint="eastAsia" w:ascii="宋体" w:hAnsi="宋体" w:eastAsia="宋体" w:cs="宋体"/>
          <w:sz w:val="24"/>
          <w:szCs w:val="24"/>
        </w:rPr>
        <w:t>供货期不超过3个月。</w:t>
      </w:r>
    </w:p>
    <w:p>
      <w:pPr>
        <w:widowControl/>
        <w:jc w:val="left"/>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jc w:val="left"/>
        <w:rPr>
          <w:sz w:val="24"/>
        </w:rPr>
      </w:pPr>
      <w:r>
        <w:rPr>
          <w:rFonts w:hint="eastAsia"/>
          <w:sz w:val="24"/>
        </w:rPr>
        <w:t xml:space="preserve">附件2 </w:t>
      </w:r>
      <w:r>
        <w:rPr>
          <w:sz w:val="24"/>
        </w:rPr>
        <w:t xml:space="preserve">  </w:t>
      </w:r>
    </w:p>
    <w:p>
      <w:pPr>
        <w:pStyle w:val="19"/>
        <w:rPr>
          <w:rFonts w:hint="eastAsia" w:ascii="宋体" w:hAnsi="宋体" w:eastAsia="宋体" w:cs="宋体"/>
          <w:sz w:val="24"/>
          <w:szCs w:val="24"/>
        </w:rPr>
      </w:pPr>
      <w:r>
        <w:rPr>
          <w:rFonts w:hint="eastAsia" w:ascii="宋体" w:hAnsi="宋体" w:eastAsia="宋体" w:cs="宋体"/>
          <w:sz w:val="24"/>
          <w:szCs w:val="24"/>
        </w:rPr>
        <w:t>氩气纯化器参数要求</w:t>
      </w:r>
    </w:p>
    <w:p>
      <w:pPr>
        <w:pStyle w:val="21"/>
        <w:widowControl/>
        <w:numPr>
          <w:ilvl w:val="0"/>
          <w:numId w:val="11"/>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额定气体流量：20 Nm3/h；</w:t>
      </w:r>
    </w:p>
    <w:p>
      <w:pPr>
        <w:pStyle w:val="21"/>
        <w:widowControl/>
        <w:numPr>
          <w:ilvl w:val="0"/>
          <w:numId w:val="11"/>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最大气体压力：1.0MPa；</w:t>
      </w:r>
    </w:p>
    <w:p>
      <w:pPr>
        <w:pStyle w:val="21"/>
        <w:widowControl/>
        <w:numPr>
          <w:ilvl w:val="0"/>
          <w:numId w:val="11"/>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最大气体压差：0.1MPa；</w:t>
      </w:r>
    </w:p>
    <w:p>
      <w:pPr>
        <w:pStyle w:val="21"/>
        <w:widowControl/>
        <w:numPr>
          <w:ilvl w:val="0"/>
          <w:numId w:val="11"/>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进气纯度：99.999%（5N）；</w:t>
      </w:r>
    </w:p>
    <w:p>
      <w:pPr>
        <w:pStyle w:val="21"/>
        <w:widowControl/>
        <w:numPr>
          <w:ilvl w:val="0"/>
          <w:numId w:val="11"/>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出气纯度：99.9999999%（9N）,H2O,O2,CO,CO2,N2,NMHC 等分项含量小于 1ppb；</w:t>
      </w:r>
    </w:p>
    <w:p>
      <w:pPr>
        <w:pStyle w:val="21"/>
        <w:widowControl/>
        <w:numPr>
          <w:ilvl w:val="0"/>
          <w:numId w:val="11"/>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内置颗粒过滤器（≦0.003 微米）；</w:t>
      </w:r>
    </w:p>
    <w:p>
      <w:pPr>
        <w:pStyle w:val="21"/>
        <w:widowControl/>
        <w:numPr>
          <w:ilvl w:val="0"/>
          <w:numId w:val="11"/>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采用前级常温吸附剂+后级高温吸气剂Getter设计，前级能先把原料气中的常规杂质去除（H2O, O2, CO, CO2等），且前级具有原位再生功能，后级能把常温去除不了的杂质（例如CH4, N2）去除；</w:t>
      </w:r>
    </w:p>
    <w:p>
      <w:pPr>
        <w:pStyle w:val="21"/>
        <w:widowControl/>
        <w:numPr>
          <w:ilvl w:val="0"/>
          <w:numId w:val="11"/>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纯化单元使用寿命不低于5年；</w:t>
      </w:r>
    </w:p>
    <w:p>
      <w:pPr>
        <w:pStyle w:val="21"/>
        <w:widowControl/>
        <w:numPr>
          <w:ilvl w:val="0"/>
          <w:numId w:val="11"/>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后级Getter单元饱和后更换费用不得超过整机价格的35%；</w:t>
      </w:r>
    </w:p>
    <w:p>
      <w:pPr>
        <w:pStyle w:val="21"/>
        <w:widowControl/>
        <w:numPr>
          <w:ilvl w:val="0"/>
          <w:numId w:val="11"/>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质保期不低于2年；</w:t>
      </w:r>
    </w:p>
    <w:p>
      <w:pPr>
        <w:pStyle w:val="21"/>
        <w:widowControl/>
        <w:numPr>
          <w:ilvl w:val="0"/>
          <w:numId w:val="11"/>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供货期不超过3个月。</w:t>
      </w:r>
    </w:p>
    <w:p>
      <w:pPr>
        <w:spacing w:line="360" w:lineRule="auto"/>
        <w:jc w:val="left"/>
        <w:rPr>
          <w:rFonts w:hint="eastAsia" w:ascii="宋体" w:hAnsi="宋体" w:eastAsia="宋体" w:cs="宋体"/>
          <w:sz w:val="24"/>
          <w:szCs w:val="24"/>
          <w:highlight w:val="none"/>
        </w:rPr>
      </w:pPr>
    </w:p>
    <w:p>
      <w:pPr>
        <w:spacing w:line="360" w:lineRule="auto"/>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供应商要求：</w:t>
      </w:r>
    </w:p>
    <w:p>
      <w:pPr>
        <w:pStyle w:val="21"/>
        <w:numPr>
          <w:ilvl w:val="0"/>
          <w:numId w:val="12"/>
        </w:numPr>
        <w:spacing w:line="360" w:lineRule="auto"/>
        <w:ind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在碳化硅外延业绩不少于3家；</w:t>
      </w:r>
    </w:p>
    <w:p>
      <w:pPr>
        <w:pStyle w:val="21"/>
        <w:numPr>
          <w:ilvl w:val="0"/>
          <w:numId w:val="12"/>
        </w:numPr>
        <w:spacing w:line="360" w:lineRule="auto"/>
        <w:ind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在化合物半导体外延业绩不少于20家；</w:t>
      </w:r>
    </w:p>
    <w:p>
      <w:pPr>
        <w:pStyle w:val="21"/>
        <w:numPr>
          <w:ilvl w:val="0"/>
          <w:numId w:val="12"/>
        </w:numPr>
        <w:spacing w:line="360" w:lineRule="auto"/>
        <w:ind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在厦门当地化合物半导体客户中，机柜型纯化设备的应用保有量超过10台</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8"/>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4B4D1F12"/>
    <w:multiLevelType w:val="multilevel"/>
    <w:tmpl w:val="4B4D1F1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D562F7B"/>
    <w:multiLevelType w:val="multilevel"/>
    <w:tmpl w:val="4D562F7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4"/>
  </w:num>
  <w:num w:numId="4">
    <w:abstractNumId w:val="6"/>
  </w:num>
  <w:num w:numId="5">
    <w:abstractNumId w:val="11"/>
  </w:num>
  <w:num w:numId="6">
    <w:abstractNumId w:val="5"/>
  </w:num>
  <w:num w:numId="7">
    <w:abstractNumId w:val="2"/>
  </w:num>
  <w:num w:numId="8">
    <w:abstractNumId w:val="1"/>
  </w:num>
  <w:num w:numId="9">
    <w:abstractNumId w:val="3"/>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7006A"/>
    <w:rsid w:val="00080244"/>
    <w:rsid w:val="000A473E"/>
    <w:rsid w:val="000D16EE"/>
    <w:rsid w:val="000F3864"/>
    <w:rsid w:val="00111B2D"/>
    <w:rsid w:val="00125724"/>
    <w:rsid w:val="001301B5"/>
    <w:rsid w:val="0013555B"/>
    <w:rsid w:val="00143854"/>
    <w:rsid w:val="00163D07"/>
    <w:rsid w:val="001834FA"/>
    <w:rsid w:val="001A5CE4"/>
    <w:rsid w:val="001B3020"/>
    <w:rsid w:val="001F0072"/>
    <w:rsid w:val="001F4078"/>
    <w:rsid w:val="001F41D1"/>
    <w:rsid w:val="002024AD"/>
    <w:rsid w:val="00205C91"/>
    <w:rsid w:val="00221BBE"/>
    <w:rsid w:val="002577C3"/>
    <w:rsid w:val="00271E4F"/>
    <w:rsid w:val="002D63AE"/>
    <w:rsid w:val="00357598"/>
    <w:rsid w:val="00363E7F"/>
    <w:rsid w:val="003952B5"/>
    <w:rsid w:val="003A7214"/>
    <w:rsid w:val="003B5EF3"/>
    <w:rsid w:val="003D0806"/>
    <w:rsid w:val="003E17BF"/>
    <w:rsid w:val="00404174"/>
    <w:rsid w:val="004443A9"/>
    <w:rsid w:val="00454B35"/>
    <w:rsid w:val="00466E9E"/>
    <w:rsid w:val="0049546C"/>
    <w:rsid w:val="004F204B"/>
    <w:rsid w:val="004F2137"/>
    <w:rsid w:val="0050790C"/>
    <w:rsid w:val="00515C0E"/>
    <w:rsid w:val="00592E5C"/>
    <w:rsid w:val="00596EFC"/>
    <w:rsid w:val="005D0327"/>
    <w:rsid w:val="005E39D7"/>
    <w:rsid w:val="00607AB4"/>
    <w:rsid w:val="006216EC"/>
    <w:rsid w:val="00654D85"/>
    <w:rsid w:val="006600C4"/>
    <w:rsid w:val="00666B09"/>
    <w:rsid w:val="006728FA"/>
    <w:rsid w:val="006729E0"/>
    <w:rsid w:val="00675A1F"/>
    <w:rsid w:val="006B03C3"/>
    <w:rsid w:val="006C7A9B"/>
    <w:rsid w:val="006D1705"/>
    <w:rsid w:val="006F1BDE"/>
    <w:rsid w:val="007239BC"/>
    <w:rsid w:val="00724054"/>
    <w:rsid w:val="00756C6B"/>
    <w:rsid w:val="00773419"/>
    <w:rsid w:val="00786041"/>
    <w:rsid w:val="007B6902"/>
    <w:rsid w:val="0083518E"/>
    <w:rsid w:val="008B7766"/>
    <w:rsid w:val="008C0304"/>
    <w:rsid w:val="008E5357"/>
    <w:rsid w:val="008F1619"/>
    <w:rsid w:val="008F7026"/>
    <w:rsid w:val="00926E68"/>
    <w:rsid w:val="00977991"/>
    <w:rsid w:val="00985BB9"/>
    <w:rsid w:val="00986620"/>
    <w:rsid w:val="00987B37"/>
    <w:rsid w:val="009A147A"/>
    <w:rsid w:val="009B120D"/>
    <w:rsid w:val="009B24A1"/>
    <w:rsid w:val="009B2FE6"/>
    <w:rsid w:val="009E4FB8"/>
    <w:rsid w:val="00A20425"/>
    <w:rsid w:val="00A33A9C"/>
    <w:rsid w:val="00A344A9"/>
    <w:rsid w:val="00A40C44"/>
    <w:rsid w:val="00A47D6B"/>
    <w:rsid w:val="00A51BCE"/>
    <w:rsid w:val="00A76D5B"/>
    <w:rsid w:val="00A9547E"/>
    <w:rsid w:val="00AB32FA"/>
    <w:rsid w:val="00AE539C"/>
    <w:rsid w:val="00AE5D17"/>
    <w:rsid w:val="00AF6147"/>
    <w:rsid w:val="00B2170A"/>
    <w:rsid w:val="00B777BC"/>
    <w:rsid w:val="00BE4315"/>
    <w:rsid w:val="00C21064"/>
    <w:rsid w:val="00C3212D"/>
    <w:rsid w:val="00C37374"/>
    <w:rsid w:val="00C574EF"/>
    <w:rsid w:val="00C57FE6"/>
    <w:rsid w:val="00CF7445"/>
    <w:rsid w:val="00D2251F"/>
    <w:rsid w:val="00D26206"/>
    <w:rsid w:val="00D54DBB"/>
    <w:rsid w:val="00D81E10"/>
    <w:rsid w:val="00D862E1"/>
    <w:rsid w:val="00D92252"/>
    <w:rsid w:val="00D951AF"/>
    <w:rsid w:val="00DD0133"/>
    <w:rsid w:val="00DF3EDC"/>
    <w:rsid w:val="00E17D65"/>
    <w:rsid w:val="00E352C8"/>
    <w:rsid w:val="00E374FB"/>
    <w:rsid w:val="00E428EC"/>
    <w:rsid w:val="00E57DF0"/>
    <w:rsid w:val="00E758C5"/>
    <w:rsid w:val="00EA7473"/>
    <w:rsid w:val="00EC6923"/>
    <w:rsid w:val="00EE17BD"/>
    <w:rsid w:val="00EE1B72"/>
    <w:rsid w:val="00EE574B"/>
    <w:rsid w:val="00EE7C8F"/>
    <w:rsid w:val="00EF6FE7"/>
    <w:rsid w:val="00F32034"/>
    <w:rsid w:val="00F7697C"/>
    <w:rsid w:val="00F86D5A"/>
    <w:rsid w:val="00FA1F35"/>
    <w:rsid w:val="00FA57DF"/>
    <w:rsid w:val="00FF5F77"/>
    <w:rsid w:val="02CD095B"/>
    <w:rsid w:val="03CE29EE"/>
    <w:rsid w:val="06111F76"/>
    <w:rsid w:val="0A7E7906"/>
    <w:rsid w:val="0BE03768"/>
    <w:rsid w:val="0BF31554"/>
    <w:rsid w:val="0C9F322F"/>
    <w:rsid w:val="0DE5021F"/>
    <w:rsid w:val="1054421D"/>
    <w:rsid w:val="124C124F"/>
    <w:rsid w:val="12B341EA"/>
    <w:rsid w:val="14DA42F1"/>
    <w:rsid w:val="153F4078"/>
    <w:rsid w:val="19DC45B9"/>
    <w:rsid w:val="1CD91C97"/>
    <w:rsid w:val="1FC856F7"/>
    <w:rsid w:val="213304E0"/>
    <w:rsid w:val="218D543C"/>
    <w:rsid w:val="261418AC"/>
    <w:rsid w:val="262554A0"/>
    <w:rsid w:val="2ADA0F0C"/>
    <w:rsid w:val="2D126148"/>
    <w:rsid w:val="2DA57A2F"/>
    <w:rsid w:val="2DDB6773"/>
    <w:rsid w:val="2E18449A"/>
    <w:rsid w:val="2EA64C67"/>
    <w:rsid w:val="2ED71E23"/>
    <w:rsid w:val="2FE50145"/>
    <w:rsid w:val="310F4F7A"/>
    <w:rsid w:val="326B7E8B"/>
    <w:rsid w:val="3375635B"/>
    <w:rsid w:val="34826751"/>
    <w:rsid w:val="36D36FF4"/>
    <w:rsid w:val="376357E1"/>
    <w:rsid w:val="380A3047"/>
    <w:rsid w:val="39F4487A"/>
    <w:rsid w:val="3ABA67BF"/>
    <w:rsid w:val="3E357A0D"/>
    <w:rsid w:val="40EF77EF"/>
    <w:rsid w:val="43E942BE"/>
    <w:rsid w:val="441473E3"/>
    <w:rsid w:val="483B62A9"/>
    <w:rsid w:val="4A8D603B"/>
    <w:rsid w:val="4B6B5642"/>
    <w:rsid w:val="4F4B7F6C"/>
    <w:rsid w:val="50275A13"/>
    <w:rsid w:val="5152568B"/>
    <w:rsid w:val="554C18B3"/>
    <w:rsid w:val="571031C9"/>
    <w:rsid w:val="57392AF0"/>
    <w:rsid w:val="578B162C"/>
    <w:rsid w:val="5A6F4ABB"/>
    <w:rsid w:val="5C0A558A"/>
    <w:rsid w:val="5DD01792"/>
    <w:rsid w:val="61264F5A"/>
    <w:rsid w:val="62170FA9"/>
    <w:rsid w:val="65665DBA"/>
    <w:rsid w:val="65B91FD2"/>
    <w:rsid w:val="67590123"/>
    <w:rsid w:val="699924A6"/>
    <w:rsid w:val="6A6A1446"/>
    <w:rsid w:val="6BE76F67"/>
    <w:rsid w:val="6C371214"/>
    <w:rsid w:val="6D82743B"/>
    <w:rsid w:val="6E7A72C6"/>
    <w:rsid w:val="6EB56E53"/>
    <w:rsid w:val="73994F5F"/>
    <w:rsid w:val="76A7334B"/>
    <w:rsid w:val="776677DD"/>
    <w:rsid w:val="77F444EC"/>
    <w:rsid w:val="78574106"/>
    <w:rsid w:val="7C127361"/>
    <w:rsid w:val="7CB04D3C"/>
    <w:rsid w:val="7CF65263"/>
    <w:rsid w:val="7D0E77C9"/>
    <w:rsid w:val="7D2C6D3F"/>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5">
    <w:name w:val="Plain Text"/>
    <w:basedOn w:val="1"/>
    <w:link w:val="14"/>
    <w:qFormat/>
    <w:uiPriority w:val="0"/>
    <w:rPr>
      <w:rFonts w:ascii="宋体" w:hAnsi="Courier New" w:cs="Courier New"/>
      <w:szCs w:val="21"/>
    </w:rPr>
  </w:style>
  <w:style w:type="paragraph" w:styleId="6">
    <w:name w:val="Body Text Indent 2"/>
    <w:basedOn w:val="1"/>
    <w:link w:val="15"/>
    <w:unhideWhenUsed/>
    <w:qFormat/>
    <w:uiPriority w:val="0"/>
    <w:pPr>
      <w:spacing w:after="120" w:line="480" w:lineRule="auto"/>
      <w:ind w:left="420" w:leftChars="2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36" w:after="68"/>
      <w:jc w:val="left"/>
    </w:pPr>
    <w:rPr>
      <w:rFonts w:ascii="Verdana" w:hAnsi="Verdana" w:cs="宋体"/>
      <w:color w:val="333333"/>
      <w:kern w:val="0"/>
      <w:sz w:val="16"/>
      <w:szCs w:val="16"/>
    </w:rPr>
  </w:style>
  <w:style w:type="character" w:customStyle="1" w:styleId="13">
    <w:name w:val="标题 1 字符"/>
    <w:basedOn w:val="12"/>
    <w:link w:val="2"/>
    <w:qFormat/>
    <w:uiPriority w:val="99"/>
    <w:rPr>
      <w:rFonts w:ascii="宋体" w:hAnsi="Times New Roman" w:eastAsia="宋体" w:cs="Times New Roman"/>
      <w:b/>
      <w:kern w:val="44"/>
      <w:sz w:val="32"/>
      <w:szCs w:val="20"/>
    </w:rPr>
  </w:style>
  <w:style w:type="character" w:customStyle="1" w:styleId="14">
    <w:name w:val="纯文本 字符"/>
    <w:basedOn w:val="12"/>
    <w:link w:val="5"/>
    <w:qFormat/>
    <w:uiPriority w:val="0"/>
    <w:rPr>
      <w:rFonts w:ascii="宋体" w:hAnsi="Courier New" w:eastAsia="宋体" w:cs="Courier New"/>
      <w:szCs w:val="21"/>
    </w:rPr>
  </w:style>
  <w:style w:type="character" w:customStyle="1" w:styleId="15">
    <w:name w:val="正文文本缩进 2 字符"/>
    <w:basedOn w:val="12"/>
    <w:link w:val="6"/>
    <w:qFormat/>
    <w:uiPriority w:val="0"/>
    <w:rPr>
      <w:rFonts w:ascii="Times New Roman" w:hAnsi="Times New Roman" w:eastAsia="宋体" w:cs="Times New Roman"/>
      <w:szCs w:val="24"/>
    </w:rPr>
  </w:style>
  <w:style w:type="character" w:customStyle="1" w:styleId="16">
    <w:name w:val="页脚 字符"/>
    <w:basedOn w:val="12"/>
    <w:link w:val="8"/>
    <w:qFormat/>
    <w:uiPriority w:val="99"/>
    <w:rPr>
      <w:rFonts w:ascii="Times New Roman" w:hAnsi="Times New Roman" w:eastAsia="宋体" w:cs="Times New Roman"/>
      <w:sz w:val="18"/>
      <w:szCs w:val="18"/>
    </w:rPr>
  </w:style>
  <w:style w:type="character" w:customStyle="1" w:styleId="17">
    <w:name w:val="页眉 字符"/>
    <w:basedOn w:val="12"/>
    <w:link w:val="9"/>
    <w:qFormat/>
    <w:uiPriority w:val="99"/>
    <w:rPr>
      <w:rFonts w:ascii="Times New Roman" w:hAnsi="Times New Roman" w:eastAsia="宋体" w:cs="Times New Roman"/>
      <w:sz w:val="18"/>
      <w:szCs w:val="18"/>
    </w:rPr>
  </w:style>
  <w:style w:type="paragraph" w:customStyle="1" w:styleId="18">
    <w:name w:val="列出段落1"/>
    <w:basedOn w:val="1"/>
    <w:qFormat/>
    <w:uiPriority w:val="34"/>
    <w:pPr>
      <w:ind w:firstLine="420" w:firstLineChars="200"/>
    </w:pPr>
  </w:style>
  <w:style w:type="paragraph" w:customStyle="1" w:styleId="19">
    <w:name w:val="样式1"/>
    <w:basedOn w:val="5"/>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0">
    <w:name w:val="p0"/>
    <w:basedOn w:val="1"/>
    <w:qFormat/>
    <w:uiPriority w:val="0"/>
    <w:pPr>
      <w:widowControl/>
    </w:pPr>
    <w:rPr>
      <w:kern w:val="0"/>
      <w:szCs w:val="21"/>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批注框文本 字符"/>
    <w:basedOn w:val="12"/>
    <w:link w:val="7"/>
    <w:semiHidden/>
    <w:qFormat/>
    <w:uiPriority w:val="99"/>
    <w:rPr>
      <w:rFonts w:ascii="Times New Roman" w:hAnsi="Times New Roman" w:eastAsia="宋体" w:cs="Times New Roman"/>
      <w:sz w:val="18"/>
      <w:szCs w:val="18"/>
    </w:rPr>
  </w:style>
  <w:style w:type="paragraph" w:customStyle="1" w:styleId="23">
    <w:name w:val="样式3"/>
    <w:basedOn w:val="5"/>
    <w:qFormat/>
    <w:uiPriority w:val="0"/>
    <w:pPr>
      <w:spacing w:line="0" w:lineRule="atLeast"/>
      <w:outlineLvl w:val="0"/>
    </w:pPr>
    <w:rPr>
      <w:rFonts w:cs="Times New Roman"/>
      <w:sz w:val="28"/>
      <w:szCs w:val="24"/>
    </w:rPr>
  </w:style>
  <w:style w:type="character" w:styleId="24">
    <w:name w:val="Placeholder Text"/>
    <w:basedOn w:val="12"/>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FF8A9-BB01-47E2-880B-9F776B8067ED}">
  <ds:schemaRefs/>
</ds:datastoreItem>
</file>

<file path=docProps/app.xml><?xml version="1.0" encoding="utf-8"?>
<Properties xmlns="http://schemas.openxmlformats.org/officeDocument/2006/extended-properties" xmlns:vt="http://schemas.openxmlformats.org/officeDocument/2006/docPropsVTypes">
  <Template>Normal</Template>
  <Company>kk</Company>
  <Pages>31</Pages>
  <Words>2445</Words>
  <Characters>13937</Characters>
  <Lines>116</Lines>
  <Paragraphs>32</Paragraphs>
  <TotalTime>75</TotalTime>
  <ScaleCrop>false</ScaleCrop>
  <LinksUpToDate>false</LinksUpToDate>
  <CharactersWithSpaces>16350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2021-04-08T00:57:00Z</dcterms:created>
  <dc:creator>朱水林</dc:creator>
  <cp:lastModifiedBy>红日初升</cp:lastModifiedBy>
  <dcterms:modified xsi:type="dcterms:W3CDTF">2021-04-08T03:07:43Z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385DC07266B14BF6B989DA607E7D3D43</vt:lpwstr>
  </property>
</Properties>
</file>