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ind w:firstLine="3253" w:firstLineChars="900"/>
        <w:rPr>
          <w:rFonts w:ascii="宋体" w:hAnsi="宋体"/>
          <w:b/>
          <w:bCs/>
          <w:sz w:val="36"/>
          <w:szCs w:val="28"/>
        </w:rPr>
      </w:pPr>
    </w:p>
    <w:p>
      <w:pPr>
        <w:ind w:firstLine="1807" w:firstLineChars="500"/>
        <w:rPr>
          <w:rFonts w:ascii="宋体" w:hAnsi="宋体"/>
          <w:b/>
          <w:bCs/>
          <w:sz w:val="36"/>
          <w:szCs w:val="28"/>
        </w:rPr>
      </w:pPr>
      <w:r>
        <w:rPr>
          <w:rFonts w:hint="eastAsia" w:ascii="宋体" w:hAnsi="宋体"/>
          <w:b/>
          <w:bCs/>
          <w:sz w:val="36"/>
          <w:szCs w:val="28"/>
        </w:rPr>
        <w:t>快速换样低温光学电学恒温腔</w:t>
      </w:r>
    </w:p>
    <w:p>
      <w:pPr>
        <w:ind w:firstLine="1807" w:firstLineChars="500"/>
        <w:rPr>
          <w:rFonts w:ascii="宋体" w:hAnsi="宋体"/>
          <w:b/>
          <w:bCs/>
          <w:sz w:val="36"/>
          <w:szCs w:val="28"/>
        </w:rPr>
      </w:pPr>
    </w:p>
    <w:p>
      <w:pPr>
        <w:spacing w:line="360" w:lineRule="auto"/>
        <w:jc w:val="center"/>
        <w:rPr>
          <w:rFonts w:ascii="宋体" w:hAnsi="宋体"/>
          <w:b/>
          <w:bCs/>
          <w:sz w:val="36"/>
          <w:szCs w:val="36"/>
        </w:rPr>
      </w:pPr>
      <w:r>
        <w:rPr>
          <w:rFonts w:hint="eastAsia" w:ascii="宋体" w:hAnsi="宋体"/>
          <w:b/>
          <w:bCs/>
          <w:sz w:val="36"/>
          <w:szCs w:val="28"/>
        </w:rPr>
        <w:t xml:space="preserve"> 采购编号：</w:t>
      </w:r>
      <w:r>
        <w:rPr>
          <w:rFonts w:hint="eastAsia" w:ascii="宋体" w:hAnsi="宋体"/>
          <w:b/>
          <w:sz w:val="36"/>
          <w:szCs w:val="36"/>
        </w:rPr>
        <w:t>JGYQ-2021TP-030</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1年</w:t>
      </w:r>
      <w:r>
        <w:rPr>
          <w:rFonts w:hint="eastAsia" w:ascii="宋体" w:hAnsi="宋体"/>
          <w:b/>
          <w:bCs/>
          <w:sz w:val="28"/>
          <w:szCs w:val="28"/>
          <w:lang w:val="en-US" w:eastAsia="zh-CN"/>
        </w:rPr>
        <w:t>6</w:t>
      </w:r>
      <w:r>
        <w:rPr>
          <w:rFonts w:hint="eastAsia" w:ascii="宋体" w:hAnsi="宋体"/>
          <w:b/>
          <w:bCs/>
          <w:sz w:val="28"/>
          <w:szCs w:val="28"/>
        </w:rPr>
        <w:t>月</w:t>
      </w:r>
      <w:r>
        <w:rPr>
          <w:rFonts w:hint="eastAsia" w:ascii="宋体" w:hAnsi="宋体"/>
          <w:b/>
          <w:bCs/>
          <w:sz w:val="28"/>
          <w:szCs w:val="28"/>
          <w:lang w:val="en-US" w:eastAsia="zh-CN"/>
        </w:rPr>
        <w:t>1</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快速换样低温光学电学恒温腔</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采购编号：JGYQ-2021TP-030</w:t>
      </w:r>
    </w:p>
    <w:p>
      <w:pPr>
        <w:numPr>
          <w:ilvl w:val="0"/>
          <w:numId w:val="2"/>
        </w:numPr>
        <w:spacing w:line="360" w:lineRule="auto"/>
        <w:rPr>
          <w:rFonts w:ascii="宋体"/>
          <w:sz w:val="28"/>
          <w:szCs w:val="28"/>
        </w:rPr>
      </w:pPr>
      <w:r>
        <w:rPr>
          <w:rFonts w:hint="eastAsia" w:ascii="宋体" w:hAnsi="宋体"/>
          <w:sz w:val="28"/>
          <w:szCs w:val="28"/>
        </w:rPr>
        <w:t>采购项目：测量分析仪器设备</w:t>
      </w:r>
    </w:p>
    <w:p>
      <w:pPr>
        <w:numPr>
          <w:ilvl w:val="0"/>
          <w:numId w:val="2"/>
        </w:numPr>
        <w:spacing w:line="360" w:lineRule="auto"/>
        <w:rPr>
          <w:rFonts w:ascii="宋体"/>
          <w:sz w:val="28"/>
          <w:szCs w:val="28"/>
        </w:rPr>
      </w:pPr>
      <w:r>
        <w:rPr>
          <w:rFonts w:hint="eastAsia" w:ascii="宋体" w:hAnsi="宋体"/>
          <w:sz w:val="28"/>
          <w:szCs w:val="28"/>
        </w:rPr>
        <w:t>采购预算：本项目预算人民币</w:t>
      </w:r>
      <w:r>
        <w:rPr>
          <w:rFonts w:hint="eastAsia" w:ascii="宋体" w:hAnsi="宋体"/>
          <w:sz w:val="28"/>
          <w:szCs w:val="28"/>
          <w:highlight w:val="none"/>
        </w:rPr>
        <w:t>810000元</w:t>
      </w:r>
      <w:r>
        <w:rPr>
          <w:rFonts w:hint="eastAsia" w:ascii="宋体" w:hAnsi="宋体"/>
          <w:sz w:val="28"/>
          <w:szCs w:val="28"/>
        </w:rPr>
        <w:t>（最高控制价，人民币包干或需预留空间予用户支付报关报检及外贸代理等相关费用）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after="100" w:afterAutospacing="1" w:line="360" w:lineRule="auto"/>
        <w:rPr>
          <w:rFonts w:ascii="宋体" w:hAnsi="宋体"/>
          <w:sz w:val="28"/>
          <w:szCs w:val="28"/>
          <w:highlight w:val="none"/>
        </w:rPr>
      </w:pPr>
      <w:r>
        <w:rPr>
          <w:rFonts w:hint="eastAsia" w:ascii="宋体" w:hAnsi="宋体"/>
          <w:sz w:val="28"/>
          <w:szCs w:val="28"/>
          <w:highlight w:val="none"/>
        </w:rPr>
        <w:t>报价截止和磋商时间：2021年6月</w:t>
      </w:r>
      <w:r>
        <w:rPr>
          <w:rFonts w:hint="eastAsia" w:ascii="宋体" w:hAnsi="宋体"/>
          <w:sz w:val="28"/>
          <w:szCs w:val="28"/>
          <w:highlight w:val="none"/>
          <w:lang w:val="en-US" w:eastAsia="zh-CN"/>
        </w:rPr>
        <w:t>18</w:t>
      </w:r>
      <w:r>
        <w:rPr>
          <w:rFonts w:hint="eastAsia" w:ascii="宋体" w:hAnsi="宋体"/>
          <w:sz w:val="28"/>
          <w:szCs w:val="28"/>
          <w:highlight w:val="none"/>
        </w:rPr>
        <w:t>日上午</w:t>
      </w:r>
      <w:r>
        <w:rPr>
          <w:rFonts w:hint="eastAsia" w:ascii="宋体" w:hAnsi="宋体"/>
          <w:sz w:val="28"/>
          <w:szCs w:val="28"/>
          <w:highlight w:val="none"/>
          <w:lang w:val="en-US" w:eastAsia="zh-CN"/>
        </w:rPr>
        <w:t>9</w:t>
      </w:r>
      <w:r>
        <w:rPr>
          <w:rFonts w:hint="eastAsia" w:ascii="宋体" w:hAnsi="宋体"/>
          <w:sz w:val="28"/>
          <w:szCs w:val="28"/>
          <w:highlight w:val="none"/>
        </w:rPr>
        <w:t>：</w:t>
      </w:r>
      <w:r>
        <w:rPr>
          <w:rFonts w:hint="eastAsia" w:ascii="宋体" w:hAnsi="宋体"/>
          <w:sz w:val="28"/>
          <w:szCs w:val="28"/>
          <w:highlight w:val="none"/>
          <w:lang w:val="en-US" w:eastAsia="zh-CN"/>
        </w:rPr>
        <w:t>30</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报名及磋商文件发售截至时间：报价人必须在2021年6月</w:t>
      </w:r>
      <w:r>
        <w:rPr>
          <w:rFonts w:hint="eastAsia" w:ascii="宋体" w:hAnsi="宋体"/>
          <w:sz w:val="28"/>
          <w:szCs w:val="28"/>
          <w:lang w:val="en-US" w:eastAsia="zh-CN"/>
        </w:rPr>
        <w:t>17</w:t>
      </w:r>
      <w:r>
        <w:rPr>
          <w:rFonts w:hint="eastAsia" w:ascii="宋体" w:hAnsi="宋体"/>
          <w:sz w:val="28"/>
          <w:szCs w:val="28"/>
        </w:rPr>
        <w:t>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rPr>
      </w:pPr>
      <w:r>
        <w:rPr>
          <w:rFonts w:hint="eastAsia" w:ascii="宋体" w:hAnsi="宋体"/>
          <w:sz w:val="28"/>
          <w:szCs w:val="28"/>
        </w:rPr>
        <w:t>开标地点：厦门市思明南</w:t>
      </w:r>
      <w:r>
        <w:rPr>
          <w:rFonts w:hint="eastAsia" w:ascii="宋体" w:hAnsi="宋体"/>
          <w:sz w:val="28"/>
          <w:szCs w:val="28"/>
          <w:highlight w:val="none"/>
        </w:rPr>
        <w:t>路422号厦门大学颂恩楼615室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720"/>
        <w:rPr>
          <w:rFonts w:ascii="宋体" w:hAnsi="宋体" w:cs="宋体"/>
          <w:color w:val="000000"/>
          <w:sz w:val="28"/>
          <w:szCs w:val="28"/>
        </w:rPr>
      </w:pPr>
      <w:r>
        <w:rPr>
          <w:rFonts w:hint="eastAsia" w:ascii="宋体" w:hAnsi="宋体"/>
          <w:sz w:val="28"/>
          <w:szCs w:val="28"/>
        </w:rPr>
        <w:t xml:space="preserve">技术需求方面请联系用户单位：李老师 </w:t>
      </w:r>
      <w:r>
        <w:rPr>
          <w:rFonts w:hint="eastAsia" w:ascii="宋体" w:hAnsi="宋体" w:cs="宋体"/>
          <w:color w:val="000000"/>
          <w:sz w:val="28"/>
          <w:szCs w:val="28"/>
        </w:rPr>
        <w:t>13057688266</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left="720"/>
        <w:rPr>
          <w:rFonts w:ascii="宋体" w:hAnsi="宋体"/>
          <w:sz w:val="28"/>
          <w:szCs w:val="28"/>
        </w:rPr>
      </w:pPr>
      <w:r>
        <w:rPr>
          <w:rFonts w:hint="eastAsia" w:ascii="宋体" w:hAnsi="宋体"/>
          <w:sz w:val="28"/>
          <w:szCs w:val="28"/>
        </w:rPr>
        <w:t>李老师</w:t>
      </w:r>
      <w:r>
        <w:rPr>
          <w:rFonts w:ascii="宋体" w:hAnsi="宋体"/>
          <w:sz w:val="28"/>
          <w:szCs w:val="28"/>
        </w:rPr>
        <w:t xml:space="preserve">  </w:t>
      </w:r>
      <w:r>
        <w:rPr>
          <w:rFonts w:hint="eastAsia" w:ascii="宋体" w:hAnsi="宋体"/>
          <w:sz w:val="28"/>
          <w:szCs w:val="28"/>
        </w:rPr>
        <w:t xml:space="preserve"> 0592-2882502</w:t>
      </w:r>
    </w:p>
    <w:p>
      <w:pPr>
        <w:spacing w:line="360" w:lineRule="auto"/>
        <w:ind w:firstLine="840" w:firstLineChars="400"/>
        <w:rPr>
          <w:rFonts w:ascii="宋体" w:hAnsi="宋体"/>
          <w:sz w:val="28"/>
          <w:szCs w:val="28"/>
        </w:rPr>
      </w:pPr>
      <w:r>
        <w:fldChar w:fldCharType="begin"/>
      </w:r>
      <w:r>
        <w:instrText xml:space="preserve"> HYPERLINK "mailto:li.nan@xmu.edu.cn" </w:instrText>
      </w:r>
      <w:r>
        <w:fldChar w:fldCharType="separate"/>
      </w:r>
      <w:r>
        <w:rPr>
          <w:rFonts w:hint="eastAsia" w:ascii="宋体" w:hAnsi="宋体"/>
          <w:sz w:val="28"/>
          <w:szCs w:val="28"/>
        </w:rPr>
        <w:t>li.nan@xmu.edu.cn</w:t>
      </w:r>
      <w:r>
        <w:rPr>
          <w:rFonts w:hint="eastAsia"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w:t>
      </w:r>
      <w:r>
        <w:rPr>
          <w:rFonts w:hint="eastAsia" w:ascii="宋体" w:hAnsi="宋体"/>
          <w:sz w:val="28"/>
          <w:szCs w:val="28"/>
        </w:rPr>
        <w:t>1年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7</w:t>
      </w:r>
      <w:r>
        <w:rPr>
          <w:rFonts w:hint="eastAsia" w:ascii="宋体" w:hAnsi="宋体"/>
          <w:sz w:val="28"/>
          <w:szCs w:val="28"/>
        </w:rPr>
        <w:t>日</w:t>
      </w:r>
    </w:p>
    <w:p>
      <w:pP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5"/>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5"/>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5"/>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9"/>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1"/>
        <w:tblW w:w="8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2105"/>
        <w:gridCol w:w="1212"/>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01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2105"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1212"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3746"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016" w:type="dxa"/>
            <w:vAlign w:val="center"/>
          </w:tcPr>
          <w:p>
            <w:pPr>
              <w:widowControl/>
              <w:jc w:val="center"/>
              <w:rPr>
                <w:color w:val="000000"/>
                <w:kern w:val="0"/>
                <w:sz w:val="20"/>
                <w:szCs w:val="20"/>
              </w:rPr>
            </w:pPr>
            <w:r>
              <w:rPr>
                <w:color w:val="000000"/>
                <w:kern w:val="0"/>
                <w:sz w:val="20"/>
                <w:szCs w:val="20"/>
              </w:rPr>
              <w:t>1</w:t>
            </w:r>
          </w:p>
        </w:tc>
        <w:tc>
          <w:tcPr>
            <w:tcW w:w="2105" w:type="dxa"/>
            <w:shd w:val="clear" w:color="000000" w:fill="FFFFFF"/>
            <w:vAlign w:val="center"/>
          </w:tcPr>
          <w:p>
            <w:pPr>
              <w:widowControl/>
              <w:jc w:val="center"/>
              <w:rPr>
                <w:sz w:val="24"/>
              </w:rPr>
            </w:pPr>
            <w:r>
              <w:rPr>
                <w:rFonts w:hint="eastAsia"/>
                <w:sz w:val="24"/>
              </w:rPr>
              <w:t>快速换样低温光学电学恒温腔</w:t>
            </w:r>
          </w:p>
        </w:tc>
        <w:tc>
          <w:tcPr>
            <w:tcW w:w="1212" w:type="dxa"/>
            <w:shd w:val="clear" w:color="000000" w:fill="FFFFFF"/>
            <w:vAlign w:val="center"/>
          </w:tcPr>
          <w:p>
            <w:pPr>
              <w:widowControl/>
              <w:jc w:val="center"/>
              <w:rPr>
                <w:kern w:val="0"/>
                <w:sz w:val="28"/>
                <w:szCs w:val="20"/>
              </w:rPr>
            </w:pPr>
            <w:r>
              <w:rPr>
                <w:kern w:val="0"/>
                <w:sz w:val="28"/>
                <w:szCs w:val="20"/>
              </w:rPr>
              <w:t>1</w:t>
            </w:r>
          </w:p>
        </w:tc>
        <w:tc>
          <w:tcPr>
            <w:tcW w:w="3746" w:type="dxa"/>
            <w:shd w:val="clear" w:color="000000" w:fill="FFFFFF"/>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color w:val="000000"/>
                <w:sz w:val="24"/>
                <w:highlight w:val="none"/>
              </w:rPr>
              <w:t>1、温控范围： 4.2 K ～ 300K，样品室内置有温度传感器。 温度稳定性：±0.1 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rFonts w:ascii="Segoe UI Symbol" w:hAnsi="Segoe UI Symbol" w:cs="Segoe UI Symbol"/>
                <w:color w:val="000000"/>
                <w:sz w:val="24"/>
                <w:highlight w:val="none"/>
              </w:rPr>
              <w:t>★</w:t>
            </w:r>
            <w:r>
              <w:rPr>
                <w:color w:val="000000"/>
                <w:sz w:val="24"/>
                <w:highlight w:val="none"/>
              </w:rPr>
              <w:t>2、能快速换样，换样时间小于5分钟，换样后从室温降到4K时间小于45分钟。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rFonts w:ascii="Segoe UI Symbol" w:hAnsi="Segoe UI Symbol" w:cs="Segoe UI Symbol"/>
                <w:color w:val="000000"/>
                <w:sz w:val="24"/>
                <w:highlight w:val="none"/>
              </w:rPr>
              <w:t>★</w:t>
            </w:r>
            <w:r>
              <w:rPr>
                <w:color w:val="000000"/>
                <w:sz w:val="24"/>
                <w:highlight w:val="none"/>
              </w:rPr>
              <w:t>3、换样方式：顶部样品杆插入式换样。</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color w:val="000000"/>
                <w:sz w:val="24"/>
                <w:highlight w:val="none"/>
              </w:rPr>
              <w:t xml:space="preserve">配置两根样品杆，一根样品杆配有10针电学引线，及接头和插座。一根样品杆配有反射样品架和透射样品架。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color w:val="000000"/>
                <w:sz w:val="24"/>
                <w:highlight w:val="none"/>
              </w:rPr>
              <w:t>4、制冷机冷头功率：0.2W (4.2k下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color w:val="000000"/>
                <w:sz w:val="24"/>
                <w:highlight w:val="none"/>
              </w:rPr>
              <w:t>5、光通路数值孔径达到f/1，收光效率高。28mm有效通光孔径。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rFonts w:ascii="Segoe UI Symbol" w:hAnsi="Segoe UI Symbol" w:cs="Segoe UI Symbol"/>
                <w:color w:val="000000"/>
                <w:sz w:val="24"/>
                <w:highlight w:val="none"/>
              </w:rPr>
              <w:t>★</w:t>
            </w:r>
            <w:r>
              <w:rPr>
                <w:color w:val="000000"/>
                <w:sz w:val="24"/>
                <w:highlight w:val="none"/>
              </w:rPr>
              <w:t>6、五窗口设计，配有4个石英光学窗口及盲板。5窗片均为内外双层设计，外窗均可拆卸，窗片直径42mm。内窗均采用阴封技术，保持不漏真空。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color w:val="000000"/>
                <w:sz w:val="24"/>
                <w:highlight w:val="none"/>
              </w:rPr>
              <w:t>7、样品杆可旋转360</w:t>
            </w:r>
            <w:r>
              <w:rPr>
                <w:color w:val="000000"/>
                <w:sz w:val="24"/>
                <w:highlight w:val="none"/>
                <w:vertAlign w:val="superscript"/>
              </w:rPr>
              <w:t>0</w:t>
            </w:r>
            <w:r>
              <w:rPr>
                <w:color w:val="000000"/>
                <w:sz w:val="24"/>
                <w:highlight w:val="none"/>
              </w:rPr>
              <w:t>,可升降+/-6mm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rFonts w:ascii="Segoe UI Symbol" w:hAnsi="Segoe UI Symbol" w:cs="Segoe UI Symbol"/>
                <w:color w:val="000000"/>
                <w:sz w:val="24"/>
                <w:highlight w:val="none"/>
              </w:rPr>
              <w:t>★</w:t>
            </w:r>
            <w:r>
              <w:rPr>
                <w:color w:val="000000"/>
                <w:sz w:val="24"/>
                <w:highlight w:val="none"/>
              </w:rPr>
              <w:t>8、制冷方式：采用闭循环设计，制冷过程中不需要消耗液氦。系统中包含风冷型氦气压缩机。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rFonts w:ascii="Segoe UI Symbol" w:hAnsi="Segoe UI Symbol" w:cs="Segoe UI Symbol"/>
                <w:color w:val="000000"/>
                <w:sz w:val="24"/>
                <w:highlight w:val="none"/>
              </w:rPr>
              <w:t>★</w:t>
            </w:r>
            <w:r>
              <w:rPr>
                <w:color w:val="000000"/>
                <w:sz w:val="24"/>
                <w:highlight w:val="none"/>
              </w:rPr>
              <w:t>9、光学腔体在200mm高度范围内上下可调节。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rFonts w:ascii="Segoe UI Symbol" w:hAnsi="Segoe UI Symbol" w:cs="Segoe UI Symbol"/>
                <w:color w:val="000000"/>
                <w:sz w:val="24"/>
                <w:highlight w:val="none"/>
              </w:rPr>
              <w:t>★</w:t>
            </w:r>
            <w:r>
              <w:rPr>
                <w:color w:val="000000"/>
                <w:sz w:val="24"/>
                <w:highlight w:val="none"/>
              </w:rPr>
              <w:t>10、配有减震支架，样品中心位置振动幅度&lt;10um。支架可以固定在光学平台或光学平板上（光学平台，光学平板一般为阵列的中心孔距25mm的Ｍ6螺纹孔）</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color w:val="000000"/>
                <w:sz w:val="24"/>
                <w:highlight w:val="none"/>
              </w:rPr>
              <w:t>11、从室温降到4.2K降温时间不超过360分钟。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color w:val="000000"/>
                <w:sz w:val="24"/>
                <w:highlight w:val="none"/>
              </w:rPr>
              <w:t>12、样品空间：直径20mm*高度50mm。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4"/>
                <w:highlight w:val="none"/>
              </w:rPr>
            </w:pPr>
            <w:r>
              <w:rPr>
                <w:rFonts w:ascii="Segoe UI Symbol" w:hAnsi="Segoe UI Symbol" w:cs="Segoe UI Symbol"/>
                <w:color w:val="000000"/>
                <w:sz w:val="24"/>
                <w:highlight w:val="none"/>
              </w:rPr>
              <w:t>★</w:t>
            </w:r>
            <w:r>
              <w:rPr>
                <w:color w:val="000000"/>
                <w:sz w:val="24"/>
                <w:highlight w:val="none"/>
              </w:rPr>
              <w:t>13、样品环境：交换氦气环境，可做液体及粉末，薄膜等多种样品的低温实验。</w:t>
            </w:r>
          </w:p>
          <w:p>
            <w:pPr>
              <w:spacing w:line="360" w:lineRule="auto"/>
              <w:rPr>
                <w:spacing w:val="24"/>
                <w:sz w:val="28"/>
              </w:rPr>
            </w:pPr>
            <w:r>
              <w:rPr>
                <w:color w:val="000000"/>
                <w:sz w:val="24"/>
                <w:highlight w:val="none"/>
              </w:rPr>
              <w:t>14、温度控制器需要与低温恒温器保持同一生产厂家生产。温度控制支持Labvi</w:t>
            </w:r>
            <w:r>
              <w:rPr>
                <w:rFonts w:hint="eastAsia"/>
                <w:color w:val="000000"/>
                <w:sz w:val="24"/>
                <w:highlight w:val="none"/>
              </w:rPr>
              <w:t>e</w:t>
            </w:r>
            <w:r>
              <w:rPr>
                <w:color w:val="000000"/>
                <w:sz w:val="24"/>
                <w:highlight w:val="none"/>
              </w:rPr>
              <w:t>w, C语言编程控制及二次开发。温度控制器配有液晶控制面板，不连接电脑也可控制低温恒温器。</w:t>
            </w:r>
          </w:p>
        </w:tc>
      </w:tr>
    </w:tbl>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本次采购的报价文件需正本1份、副本5份。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rPr>
      </w:pPr>
      <w:r>
        <w:rPr>
          <w:rFonts w:hint="eastAsia"/>
          <w:color w:val="000000"/>
          <w:sz w:val="24"/>
        </w:rPr>
        <w:t>从中华人民共和国境内提供的货物：设备到达用户指定地点安装、调试验收合格后支付90%，10%质保金一年后支付。</w:t>
      </w:r>
    </w:p>
    <w:p>
      <w:pPr>
        <w:tabs>
          <w:tab w:val="left" w:pos="0"/>
          <w:tab w:val="left" w:pos="540"/>
        </w:tabs>
        <w:spacing w:line="360" w:lineRule="auto"/>
        <w:ind w:firstLine="480" w:firstLineChars="200"/>
        <w:rPr>
          <w:rFonts w:ascii="Arial" w:hAnsi="宋体" w:cs="Arial"/>
          <w:sz w:val="24"/>
          <w:szCs w:val="21"/>
        </w:rPr>
      </w:pPr>
      <w:r>
        <w:rPr>
          <w:rFonts w:hint="eastAsia"/>
          <w:sz w:val="24"/>
        </w:rPr>
        <w:t>从中华人民共和国境外提供的货物：</w:t>
      </w:r>
      <w:r>
        <w:rPr>
          <w:rFonts w:hint="eastAsia"/>
          <w:color w:val="000000"/>
          <w:sz w:val="24"/>
        </w:rPr>
        <w:t>100%不可撤销信用证，30%见单即付，70%验收合格后付。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1"/>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1"/>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w:t>
      </w:r>
      <w:r>
        <w:rPr>
          <w:rFonts w:hint="eastAsia" w:ascii="Arial" w:hAnsi="宋体" w:cs="Arial"/>
          <w:sz w:val="24"/>
          <w:szCs w:val="21"/>
          <w:highlight w:val="none"/>
        </w:rPr>
        <w:t>至少一年</w:t>
      </w:r>
      <w:r>
        <w:rPr>
          <w:rFonts w:hint="eastAsia" w:ascii="Arial" w:hAnsi="宋体" w:cs="Arial"/>
          <w:sz w:val="24"/>
          <w:szCs w:val="21"/>
        </w:rPr>
        <w:t>（招标参数中有明确保修年限要求的按具体要求保修）。保修期自用户验收小组验收合格交付使用之日算起。</w:t>
      </w:r>
      <w:bookmarkStart w:id="13" w:name="_GoBack"/>
      <w:bookmarkEnd w:id="13"/>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0"/>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0"/>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0"/>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0"/>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0"/>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0"/>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0"/>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0"/>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0"/>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0"/>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0"/>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20"/>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spacing w:line="360" w:lineRule="auto"/>
        <w:rPr>
          <w:b/>
          <w:bCs/>
          <w:color w:val="000000"/>
          <w:sz w:val="32"/>
          <w:szCs w:val="32"/>
        </w:rPr>
      </w:pPr>
    </w:p>
    <w:p>
      <w:pPr>
        <w:spacing w:line="360" w:lineRule="auto"/>
        <w:rPr>
          <w:b/>
          <w:bCs/>
          <w:color w:val="000000"/>
          <w:sz w:val="32"/>
          <w:szCs w:val="32"/>
        </w:rPr>
      </w:pPr>
    </w:p>
    <w:p>
      <w:pPr>
        <w:spacing w:line="360" w:lineRule="auto"/>
        <w:ind w:firstLine="2570" w:firstLineChars="800"/>
        <w:rPr>
          <w:b/>
          <w:bCs/>
          <w:color w:val="000000"/>
          <w:sz w:val="32"/>
          <w:szCs w:val="32"/>
        </w:rPr>
      </w:pPr>
    </w:p>
    <w:p>
      <w:pPr>
        <w:spacing w:line="360" w:lineRule="auto"/>
        <w:ind w:firstLine="2570" w:firstLineChars="800"/>
        <w:rPr>
          <w:b/>
          <w:bCs/>
          <w:color w:val="000000"/>
          <w:sz w:val="32"/>
          <w:szCs w:val="32"/>
        </w:rPr>
      </w:pPr>
    </w:p>
    <w:p>
      <w:pPr>
        <w:spacing w:line="360" w:lineRule="auto"/>
        <w:ind w:firstLine="2570" w:firstLineChars="800"/>
        <w:rPr>
          <w:b/>
          <w:bCs/>
          <w:color w:val="000000"/>
          <w:sz w:val="32"/>
          <w:szCs w:val="32"/>
        </w:rPr>
      </w:pPr>
    </w:p>
    <w:p>
      <w:pPr>
        <w:spacing w:line="360" w:lineRule="auto"/>
        <w:ind w:firstLine="2570" w:firstLineChars="800"/>
        <w:rPr>
          <w:b/>
          <w:bCs/>
          <w:color w:val="000000"/>
          <w:sz w:val="32"/>
          <w:szCs w:val="32"/>
        </w:rPr>
      </w:pPr>
    </w:p>
    <w:p>
      <w:pPr>
        <w:spacing w:line="360" w:lineRule="auto"/>
        <w:ind w:firstLine="2570" w:firstLineChars="800"/>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hAns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numPr>
          <w:ilvl w:val="0"/>
          <w:numId w:val="10"/>
        </w:numPr>
        <w:spacing w:line="360" w:lineRule="auto"/>
        <w:rPr>
          <w:b/>
          <w:bCs/>
          <w:color w:val="000000"/>
          <w:sz w:val="32"/>
          <w:szCs w:val="32"/>
        </w:rPr>
      </w:pP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份和副本5份。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1"/>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6"/>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6"/>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6"/>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6"/>
        <w:tabs>
          <w:tab w:val="left" w:pos="0"/>
          <w:tab w:val="left" w:pos="735"/>
        </w:tabs>
        <w:spacing w:line="360" w:lineRule="auto"/>
        <w:rPr>
          <w:rFonts w:hAnsi="宋体"/>
          <w:sz w:val="24"/>
        </w:rPr>
      </w:pPr>
    </w:p>
    <w:p>
      <w:pPr>
        <w:pStyle w:val="6"/>
        <w:tabs>
          <w:tab w:val="left" w:pos="0"/>
          <w:tab w:val="left" w:pos="735"/>
        </w:tabs>
        <w:spacing w:line="360" w:lineRule="auto"/>
        <w:rPr>
          <w:sz w:val="24"/>
        </w:rPr>
      </w:pPr>
    </w:p>
    <w:p>
      <w:pPr>
        <w:pStyle w:val="6"/>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6"/>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5"/>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5"/>
        <w:snapToGrid w:val="0"/>
        <w:spacing w:line="400" w:lineRule="exact"/>
        <w:ind w:firstLine="560" w:firstLineChars="200"/>
        <w:jc w:val="left"/>
        <w:rPr>
          <w:rFonts w:hAnsi="宋体"/>
          <w:sz w:val="28"/>
          <w:szCs w:val="22"/>
          <w:u w:val="single"/>
        </w:rPr>
      </w:pPr>
    </w:p>
    <w:p>
      <w:pPr>
        <w:pStyle w:val="5"/>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5"/>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5"/>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5"/>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5"/>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5"/>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5"/>
        <w:snapToGrid w:val="0"/>
        <w:spacing w:line="400" w:lineRule="exact"/>
        <w:ind w:firstLine="480" w:firstLineChars="200"/>
        <w:jc w:val="left"/>
        <w:rPr>
          <w:rFonts w:hAnsi="宋体"/>
          <w:sz w:val="24"/>
        </w:rPr>
      </w:pPr>
      <w:r>
        <w:rPr>
          <w:rFonts w:hint="eastAsia" w:hAnsi="宋体"/>
          <w:sz w:val="24"/>
        </w:rPr>
        <w:t xml:space="preserve">投标人名称：                               </w:t>
      </w:r>
    </w:p>
    <w:p>
      <w:pPr>
        <w:pStyle w:val="5"/>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5"/>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5"/>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5"/>
        <w:snapToGrid w:val="0"/>
        <w:spacing w:line="400" w:lineRule="exact"/>
        <w:ind w:firstLine="480" w:firstLineChars="200"/>
        <w:jc w:val="left"/>
        <w:rPr>
          <w:rFonts w:hAnsi="宋体"/>
          <w:sz w:val="24"/>
        </w:rPr>
      </w:pPr>
      <w:r>
        <w:rPr>
          <w:rFonts w:hint="eastAsia" w:hAnsi="宋体"/>
          <w:sz w:val="24"/>
        </w:rPr>
        <w:t>本授权书自出具之日起生效。</w:t>
      </w:r>
    </w:p>
    <w:p>
      <w:pPr>
        <w:pStyle w:val="5"/>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184550797"/>
      <w:bookmarkStart w:id="1" w:name="_Toc323741898"/>
      <w:bookmarkStart w:id="2" w:name="_Toc184176484"/>
      <w:bookmarkStart w:id="3" w:name="_Toc256416592"/>
      <w:bookmarkStart w:id="4" w:name="_Toc238290496"/>
      <w:r>
        <w:rPr>
          <w:rFonts w:hint="eastAsia"/>
          <w:sz w:val="24"/>
        </w:rPr>
        <w:t>附：被授权人身份证件</w:t>
      </w:r>
    </w:p>
    <w:p>
      <w:pPr>
        <w:pStyle w:val="24"/>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1"/>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4"/>
              <w:rPr>
                <w:sz w:val="32"/>
              </w:rPr>
            </w:pPr>
            <w:bookmarkStart w:id="5" w:name="_Toc415124198"/>
            <w:bookmarkStart w:id="6" w:name="_Toc418491550"/>
            <w:bookmarkStart w:id="7" w:name="_Toc415124366"/>
            <w:bookmarkStart w:id="8" w:name="_Toc43303712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4"/>
              <w:rPr>
                <w:sz w:val="32"/>
              </w:rPr>
            </w:pPr>
            <w:bookmarkStart w:id="9" w:name="_Toc415124199"/>
            <w:bookmarkStart w:id="10" w:name="_Toc433037129"/>
            <w:bookmarkStart w:id="11" w:name="_Toc415124367"/>
            <w:bookmarkStart w:id="12" w:name="_Toc418491551"/>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6"/>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jc w:val="center"/>
        <w:rPr>
          <w:bCs/>
          <w:sz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p>
    <w:p>
      <w:pPr>
        <w:spacing w:line="360" w:lineRule="auto"/>
        <w:ind w:firstLine="4800" w:firstLineChars="2000"/>
        <w:rPr>
          <w:rFonts w:ascii="宋体" w:hAnsi="宋体"/>
          <w:sz w:val="24"/>
        </w:rPr>
      </w:pPr>
      <w:r>
        <w:rPr>
          <w:rFonts w:hint="eastAsia" w:ascii="宋体" w:hAnsi="宋体"/>
          <w:sz w:val="24"/>
        </w:rPr>
        <w:t>日期：  年   月    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bCs/>
          <w:sz w:val="28"/>
        </w:rPr>
      </w:pPr>
      <w:r>
        <w:rPr>
          <w:rFonts w:hint="eastAsia"/>
          <w:bCs/>
          <w:sz w:val="28"/>
        </w:rPr>
        <w:t>格式10  供货及技术服务协议</w:t>
      </w:r>
    </w:p>
    <w:p>
      <w:pPr>
        <w:rPr>
          <w:bCs/>
          <w:sz w:val="28"/>
          <w:highlight w:val="yellow"/>
        </w:rPr>
      </w:pPr>
      <w:r>
        <w:rPr>
          <w:rFonts w:hint="eastAsia"/>
          <w:bCs/>
          <w:sz w:val="28"/>
        </w:rPr>
        <w:t>甲方：嘉庚创新实验室资产采购管理室</w:t>
      </w:r>
    </w:p>
    <w:p>
      <w:pPr>
        <w:rPr>
          <w:bCs/>
          <w:sz w:val="28"/>
        </w:rPr>
      </w:pPr>
      <w:r>
        <w:rPr>
          <w:rFonts w:hint="eastAsia"/>
          <w:bCs/>
          <w:sz w:val="28"/>
        </w:rPr>
        <w:t>（用户单位：     项目组）</w:t>
      </w:r>
    </w:p>
    <w:p>
      <w:pPr>
        <w:rPr>
          <w:bCs/>
          <w:sz w:val="28"/>
        </w:rPr>
      </w:pPr>
      <w:r>
        <w:rPr>
          <w:rFonts w:hint="eastAsia"/>
          <w:bCs/>
          <w:sz w:val="28"/>
        </w:rPr>
        <w:t xml:space="preserve">乙方： </w:t>
      </w:r>
    </w:p>
    <w:p>
      <w:pPr>
        <w:spacing w:line="400" w:lineRule="exact"/>
        <w:ind w:firstLine="480" w:firstLineChars="200"/>
        <w:rPr>
          <w:spacing w:val="24"/>
          <w:sz w:val="24"/>
        </w:rPr>
      </w:pPr>
      <w:r>
        <w:rPr>
          <w:rFonts w:hint="eastAsia" w:ascii="宋体"/>
          <w:sz w:val="24"/>
        </w:rPr>
        <w:t>兹甲方向乙方购买</w:t>
      </w:r>
      <w:r>
        <w:rPr>
          <w:rFonts w:hint="eastAsia"/>
          <w:bCs/>
          <w:sz w:val="28"/>
        </w:rPr>
        <w:sym w:font="Wingdings 2" w:char="F0CD"/>
      </w:r>
      <w:r>
        <w:rPr>
          <w:rFonts w:hint="eastAsia"/>
          <w:bCs/>
          <w:sz w:val="28"/>
        </w:rPr>
        <w:sym w:font="Wingdings 2" w:char="F0CD"/>
      </w:r>
      <w:r>
        <w:rPr>
          <w:rFonts w:hint="eastAsia" w:ascii="宋体"/>
          <w:sz w:val="24"/>
        </w:rPr>
        <w:t>公司生产的</w:t>
      </w:r>
      <w:r>
        <w:rPr>
          <w:rFonts w:hint="eastAsia"/>
          <w:bCs/>
          <w:sz w:val="28"/>
        </w:rPr>
        <w:sym w:font="Wingdings 2" w:char="F0CD"/>
      </w:r>
      <w:r>
        <w:rPr>
          <w:rFonts w:hint="eastAsia"/>
          <w:bCs/>
          <w:sz w:val="28"/>
        </w:rPr>
        <w:sym w:font="Wingdings 2" w:char="F0CD"/>
      </w:r>
      <w:r>
        <w:rPr>
          <w:rFonts w:hint="eastAsia" w:ascii="宋体"/>
          <w:sz w:val="24"/>
        </w:rPr>
        <w:t>，经双方共同议定，达成如下协议</w:t>
      </w:r>
      <w:r>
        <w:rPr>
          <w:rFonts w:hint="eastAsia"/>
          <w:bCs/>
          <w:sz w:val="24"/>
        </w:rPr>
        <w:t>：</w:t>
      </w:r>
    </w:p>
    <w:p>
      <w:pPr>
        <w:tabs>
          <w:tab w:val="left" w:pos="3420"/>
        </w:tabs>
        <w:spacing w:line="400" w:lineRule="exact"/>
        <w:rPr>
          <w:bCs/>
          <w:sz w:val="24"/>
        </w:rPr>
      </w:pPr>
      <w:r>
        <w:rPr>
          <w:rFonts w:hint="eastAsia"/>
          <w:bCs/>
          <w:sz w:val="24"/>
        </w:rPr>
        <w:t>1．供货内容及价格：</w:t>
      </w:r>
    </w:p>
    <w:tbl>
      <w:tblPr>
        <w:tblStyle w:val="11"/>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bCs/>
                <w:sz w:val="24"/>
              </w:rPr>
            </w:pPr>
            <w:r>
              <w:rPr>
                <w:rFonts w:hint="eastAsia" w:ascii="宋体"/>
                <w:bCs/>
                <w:sz w:val="24"/>
              </w:rPr>
              <w:t>序号</w:t>
            </w:r>
          </w:p>
        </w:tc>
        <w:tc>
          <w:tcPr>
            <w:tcW w:w="1153" w:type="dxa"/>
            <w:vAlign w:val="center"/>
          </w:tcPr>
          <w:p>
            <w:pPr>
              <w:spacing w:line="460" w:lineRule="atLeast"/>
              <w:jc w:val="center"/>
              <w:rPr>
                <w:rFonts w:ascii="宋体"/>
                <w:bCs/>
                <w:sz w:val="24"/>
              </w:rPr>
            </w:pPr>
            <w:r>
              <w:rPr>
                <w:rFonts w:hint="eastAsia" w:ascii="宋体"/>
                <w:bCs/>
                <w:sz w:val="24"/>
              </w:rPr>
              <w:t>产品</w:t>
            </w:r>
          </w:p>
          <w:p>
            <w:pPr>
              <w:spacing w:line="460" w:lineRule="atLeast"/>
              <w:jc w:val="center"/>
              <w:rPr>
                <w:rFonts w:ascii="宋体"/>
                <w:bCs/>
                <w:sz w:val="24"/>
              </w:rPr>
            </w:pPr>
            <w:r>
              <w:rPr>
                <w:rFonts w:hint="eastAsia" w:ascii="宋体"/>
                <w:bCs/>
                <w:sz w:val="24"/>
              </w:rPr>
              <w:t>名称</w:t>
            </w:r>
          </w:p>
        </w:tc>
        <w:tc>
          <w:tcPr>
            <w:tcW w:w="1153" w:type="dxa"/>
            <w:gridSpan w:val="2"/>
            <w:vAlign w:val="center"/>
          </w:tcPr>
          <w:p>
            <w:pPr>
              <w:spacing w:line="460" w:lineRule="atLeast"/>
              <w:jc w:val="center"/>
              <w:rPr>
                <w:rFonts w:ascii="宋体"/>
                <w:bCs/>
                <w:sz w:val="24"/>
              </w:rPr>
            </w:pPr>
            <w:r>
              <w:rPr>
                <w:rFonts w:hint="eastAsia" w:ascii="宋体"/>
                <w:bCs/>
                <w:sz w:val="24"/>
              </w:rPr>
              <w:t>规格</w:t>
            </w:r>
          </w:p>
          <w:p>
            <w:pPr>
              <w:spacing w:line="460" w:lineRule="atLeast"/>
              <w:jc w:val="center"/>
              <w:rPr>
                <w:color w:val="000000"/>
              </w:rPr>
            </w:pPr>
            <w:r>
              <w:rPr>
                <w:rFonts w:hint="eastAsia" w:ascii="宋体"/>
                <w:bCs/>
                <w:sz w:val="24"/>
              </w:rPr>
              <w:t>型号</w:t>
            </w:r>
          </w:p>
        </w:tc>
        <w:tc>
          <w:tcPr>
            <w:tcW w:w="1153" w:type="dxa"/>
            <w:vAlign w:val="center"/>
          </w:tcPr>
          <w:p>
            <w:pPr>
              <w:spacing w:line="460" w:lineRule="atLeast"/>
              <w:jc w:val="center"/>
              <w:rPr>
                <w:rFonts w:ascii="宋体"/>
                <w:bCs/>
                <w:sz w:val="24"/>
              </w:rPr>
            </w:pPr>
            <w:r>
              <w:rPr>
                <w:rFonts w:hint="eastAsia" w:ascii="宋体"/>
                <w:bCs/>
                <w:sz w:val="24"/>
              </w:rPr>
              <w:t>生产</w:t>
            </w:r>
          </w:p>
          <w:p>
            <w:pPr>
              <w:spacing w:line="460" w:lineRule="atLeast"/>
              <w:jc w:val="center"/>
              <w:rPr>
                <w:rFonts w:ascii="宋体" w:hAnsi="宋体" w:cs="宋体"/>
                <w:color w:val="000000"/>
                <w:sz w:val="24"/>
              </w:rPr>
            </w:pPr>
            <w:r>
              <w:rPr>
                <w:rFonts w:hint="eastAsia" w:ascii="宋体"/>
                <w:bCs/>
                <w:sz w:val="24"/>
              </w:rPr>
              <w:t>厂家</w:t>
            </w:r>
          </w:p>
        </w:tc>
        <w:tc>
          <w:tcPr>
            <w:tcW w:w="1153" w:type="dxa"/>
            <w:vAlign w:val="center"/>
          </w:tcPr>
          <w:p>
            <w:pPr>
              <w:spacing w:line="460" w:lineRule="atLeast"/>
              <w:jc w:val="center"/>
              <w:rPr>
                <w:rFonts w:ascii="宋体"/>
                <w:bCs/>
                <w:sz w:val="24"/>
              </w:rPr>
            </w:pPr>
            <w:r>
              <w:rPr>
                <w:rFonts w:hint="eastAsia" w:ascii="宋体"/>
                <w:bCs/>
                <w:sz w:val="24"/>
              </w:rPr>
              <w:t>数量</w:t>
            </w:r>
          </w:p>
        </w:tc>
        <w:tc>
          <w:tcPr>
            <w:tcW w:w="1153" w:type="dxa"/>
            <w:vAlign w:val="center"/>
          </w:tcPr>
          <w:p>
            <w:pPr>
              <w:spacing w:line="460" w:lineRule="atLeast"/>
              <w:jc w:val="center"/>
              <w:rPr>
                <w:rFonts w:ascii="宋体" w:hAnsi="宋体" w:cs="宋体"/>
                <w:color w:val="000000"/>
                <w:sz w:val="24"/>
              </w:rPr>
            </w:pPr>
            <w:r>
              <w:rPr>
                <w:rFonts w:hint="eastAsia" w:ascii="宋体"/>
                <w:bCs/>
                <w:sz w:val="24"/>
              </w:rPr>
              <w:t>单位</w:t>
            </w:r>
          </w:p>
        </w:tc>
        <w:tc>
          <w:tcPr>
            <w:tcW w:w="1153" w:type="dxa"/>
            <w:vAlign w:val="center"/>
          </w:tcPr>
          <w:p>
            <w:pPr>
              <w:spacing w:line="460" w:lineRule="atLeast"/>
              <w:jc w:val="center"/>
              <w:rPr>
                <w:rFonts w:ascii="宋体"/>
                <w:bCs/>
                <w:sz w:val="24"/>
              </w:rPr>
            </w:pPr>
            <w:r>
              <w:rPr>
                <w:rFonts w:hint="eastAsia" w:ascii="宋体"/>
                <w:bCs/>
                <w:sz w:val="24"/>
              </w:rPr>
              <w:t>单价</w:t>
            </w:r>
          </w:p>
          <w:p>
            <w:pPr>
              <w:spacing w:line="460" w:lineRule="atLeast"/>
              <w:jc w:val="center"/>
              <w:rPr>
                <w:rFonts w:ascii="宋体"/>
                <w:bCs/>
                <w:sz w:val="24"/>
              </w:rPr>
            </w:pPr>
            <w:r>
              <w:rPr>
                <w:rFonts w:hint="eastAsia" w:ascii="宋体"/>
                <w:bCs/>
                <w:sz w:val="24"/>
              </w:rPr>
              <w:t>（美元）</w:t>
            </w:r>
          </w:p>
        </w:tc>
        <w:tc>
          <w:tcPr>
            <w:tcW w:w="1153" w:type="dxa"/>
            <w:vAlign w:val="center"/>
          </w:tcPr>
          <w:p>
            <w:pPr>
              <w:spacing w:line="460" w:lineRule="atLeast"/>
              <w:jc w:val="center"/>
              <w:rPr>
                <w:rFonts w:ascii="宋体"/>
                <w:bCs/>
                <w:sz w:val="24"/>
              </w:rPr>
            </w:pPr>
            <w:r>
              <w:rPr>
                <w:rFonts w:hint="eastAsia" w:ascii="宋体"/>
                <w:bCs/>
                <w:sz w:val="24"/>
              </w:rPr>
              <w:t>总价</w:t>
            </w:r>
          </w:p>
          <w:p>
            <w:pPr>
              <w:spacing w:line="460" w:lineRule="atLeast"/>
              <w:jc w:val="center"/>
              <w:rPr>
                <w:rFonts w:ascii="宋体"/>
                <w:bCs/>
                <w:sz w:val="24"/>
              </w:rPr>
            </w:pPr>
            <w:r>
              <w:rPr>
                <w:rFonts w:hint="eastAsia" w:ascii="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153" w:type="dxa"/>
            <w:vAlign w:val="center"/>
          </w:tcPr>
          <w:p>
            <w:pPr>
              <w:jc w:val="center"/>
              <w:rPr>
                <w:rFonts w:ascii="宋体" w:hAnsi="宋体" w:cs="宋体"/>
                <w:color w:val="000000"/>
                <w:sz w:val="24"/>
              </w:rPr>
            </w:pPr>
          </w:p>
        </w:tc>
        <w:tc>
          <w:tcPr>
            <w:tcW w:w="1153" w:type="dxa"/>
            <w:gridSpan w:val="2"/>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74" w:type="dxa"/>
            <w:gridSpan w:val="3"/>
            <w:vAlign w:val="center"/>
          </w:tcPr>
          <w:p>
            <w:pPr>
              <w:tabs>
                <w:tab w:val="left" w:pos="846"/>
              </w:tabs>
              <w:jc w:val="center"/>
              <w:rPr>
                <w:rFonts w:ascii="宋体" w:hAnsi="宋体"/>
                <w:bCs/>
                <w:sz w:val="24"/>
              </w:rPr>
            </w:pPr>
            <w:r>
              <w:rPr>
                <w:rFonts w:hint="eastAsia"/>
                <w:bCs/>
                <w:sz w:val="24"/>
              </w:rPr>
              <w:t>合计总金额</w:t>
            </w:r>
          </w:p>
        </w:tc>
        <w:tc>
          <w:tcPr>
            <w:tcW w:w="6149" w:type="dxa"/>
            <w:gridSpan w:val="6"/>
            <w:vAlign w:val="center"/>
          </w:tcPr>
          <w:p>
            <w:pPr>
              <w:jc w:val="center"/>
              <w:rPr>
                <w:bCs/>
                <w:sz w:val="24"/>
              </w:rPr>
            </w:pPr>
            <w:r>
              <w:rPr>
                <w:rFonts w:hint="eastAsia"/>
                <w:bCs/>
                <w:sz w:val="24"/>
              </w:rPr>
              <w:t>USD：       （大写：       美金）</w:t>
            </w:r>
          </w:p>
        </w:tc>
      </w:tr>
    </w:tbl>
    <w:p>
      <w:pPr>
        <w:spacing w:line="400" w:lineRule="exact"/>
        <w:rPr>
          <w:bCs/>
          <w:sz w:val="24"/>
        </w:rPr>
      </w:pPr>
      <w:r>
        <w:rPr>
          <w:rFonts w:hint="eastAsia"/>
          <w:bCs/>
          <w:sz w:val="24"/>
        </w:rPr>
        <w:t>2．交货时间：合同签订后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rFonts w:hint="eastAsia"/>
          <w:bCs/>
          <w:sz w:val="24"/>
        </w:rPr>
        <w:t>3．运输方式及到港站：CIP厦门</w:t>
      </w:r>
    </w:p>
    <w:p>
      <w:pPr>
        <w:spacing w:line="400" w:lineRule="exact"/>
        <w:rPr>
          <w:bCs/>
          <w:sz w:val="24"/>
        </w:rPr>
      </w:pPr>
      <w:r>
        <w:rPr>
          <w:rFonts w:hint="eastAsia"/>
          <w:bCs/>
          <w:sz w:val="24"/>
        </w:rPr>
        <w:t>4．技术配置方案见附件。</w:t>
      </w:r>
    </w:p>
    <w:p>
      <w:pPr>
        <w:spacing w:line="400" w:lineRule="exact"/>
        <w:rPr>
          <w:bCs/>
          <w:sz w:val="24"/>
        </w:rPr>
      </w:pPr>
      <w:r>
        <w:rPr>
          <w:rFonts w:hint="eastAsia"/>
          <w:bCs/>
          <w:sz w:val="24"/>
        </w:rPr>
        <w:t>5．外贸合同签订：</w:t>
      </w:r>
    </w:p>
    <w:p>
      <w:pPr>
        <w:spacing w:line="400" w:lineRule="exact"/>
        <w:rPr>
          <w:bCs/>
          <w:sz w:val="24"/>
        </w:rPr>
      </w:pPr>
      <w:r>
        <w:rPr>
          <w:rFonts w:hint="eastAsia"/>
          <w:bCs/>
          <w:sz w:val="24"/>
        </w:rPr>
        <w:t xml:space="preserve">   甲方委托</w:t>
      </w:r>
      <w:r>
        <w:rPr>
          <w:rFonts w:hint="eastAsia"/>
          <w:bCs/>
          <w:sz w:val="24"/>
          <w:u w:val="single"/>
        </w:rPr>
        <w:t xml:space="preserve">             （</w:t>
      </w:r>
      <w:r>
        <w:rPr>
          <w:rFonts w:hint="eastAsia"/>
          <w:bCs/>
          <w:sz w:val="24"/>
        </w:rPr>
        <w:t>外贸代理公司由实验室从入围的进口外贸代理服务商选定）签订外贸合同，协助办理免税及办理进口报关、报检等手续。</w:t>
      </w:r>
    </w:p>
    <w:p>
      <w:pPr>
        <w:spacing w:line="400" w:lineRule="exact"/>
        <w:rPr>
          <w:bCs/>
          <w:sz w:val="24"/>
        </w:rPr>
      </w:pPr>
      <w:r>
        <w:rPr>
          <w:rFonts w:hint="eastAsia"/>
          <w:bCs/>
          <w:sz w:val="24"/>
        </w:rPr>
        <w:t xml:space="preserve">   乙方（委托）</w:t>
      </w:r>
      <w:r>
        <w:rPr>
          <w:rFonts w:hint="eastAsia"/>
          <w:bCs/>
          <w:sz w:val="24"/>
          <w:u w:val="single"/>
        </w:rPr>
        <w:t xml:space="preserve">           </w:t>
      </w:r>
      <w:r>
        <w:rPr>
          <w:rFonts w:hint="eastAsia"/>
          <w:bCs/>
          <w:sz w:val="24"/>
        </w:rPr>
        <w:t>签订外贸合同及办理出口事宜。</w:t>
      </w:r>
    </w:p>
    <w:p>
      <w:pPr>
        <w:spacing w:line="400" w:lineRule="exact"/>
        <w:rPr>
          <w:rFonts w:ascii="宋体"/>
          <w:bCs/>
          <w:sz w:val="24"/>
        </w:rPr>
      </w:pPr>
      <w:r>
        <w:rPr>
          <w:bCs/>
          <w:sz w:val="24"/>
        </w:rPr>
        <w:t>6．付款</w:t>
      </w:r>
      <w:r>
        <w:rPr>
          <w:rFonts w:hint="eastAsia" w:ascii="宋体"/>
          <w:bCs/>
          <w:sz w:val="24"/>
        </w:rPr>
        <w:t>方式：甲方通过受其委托的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w:t>
      </w:r>
      <w:r>
        <w:rPr>
          <w:rFonts w:hint="eastAsia" w:ascii="宋体"/>
          <w:bCs/>
          <w:sz w:val="24"/>
        </w:rPr>
        <w:t>外贸代理公司）付款，乙方授权受其委托的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（前述乙方委托其签订外贸合同的出口商，一般为制造商）收款，</w:t>
      </w:r>
      <w:r>
        <w:rPr>
          <w:rFonts w:hint="eastAsia" w:ascii="宋体"/>
          <w:bCs/>
          <w:sz w:val="24"/>
        </w:rPr>
        <w:t>付款方式为：开具100%信用证，80%见单即付，20%货到验收合格后凭最终用户（嘉庚创新实验室</w:t>
      </w:r>
      <w:r>
        <w:rPr>
          <w:rFonts w:hint="eastAsia"/>
          <w:bCs/>
          <w:sz w:val="28"/>
        </w:rPr>
        <w:sym w:font="Wingdings 2" w:char="F0CD"/>
      </w:r>
      <w:r>
        <w:rPr>
          <w:rFonts w:hint="eastAsia"/>
          <w:bCs/>
          <w:sz w:val="28"/>
        </w:rPr>
        <w:sym w:font="Wingdings 2" w:char="F0CD"/>
      </w:r>
      <w:r>
        <w:rPr>
          <w:rFonts w:hint="eastAsia" w:ascii="宋体"/>
          <w:bCs/>
          <w:sz w:val="24"/>
        </w:rPr>
        <w:t>项目）的验收合格报告单支付。</w:t>
      </w:r>
    </w:p>
    <w:p>
      <w:pPr>
        <w:spacing w:line="400" w:lineRule="exact"/>
        <w:jc w:val="left"/>
        <w:rPr>
          <w:rFonts w:ascii="宋体"/>
          <w:bCs/>
          <w:sz w:val="24"/>
        </w:rPr>
      </w:pPr>
      <w:r>
        <w:rPr>
          <w:bCs/>
          <w:sz w:val="24"/>
        </w:rPr>
        <w:t>7．</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w:t>
      </w:r>
      <w:r>
        <w:rPr>
          <w:rFonts w:hint="eastAsia" w:ascii="宋体"/>
          <w:bCs/>
          <w:sz w:val="24"/>
          <w:u w:val="single"/>
        </w:rPr>
        <w:t xml:space="preserve">    </w:t>
      </w:r>
      <w:r>
        <w:rPr>
          <w:rFonts w:hint="eastAsia" w:ascii="宋体"/>
          <w:bCs/>
          <w:sz w:val="24"/>
        </w:rPr>
        <w:t>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rPr>
      </w:pPr>
      <w:r>
        <w:rPr>
          <w:rFonts w:ascii="宋体"/>
          <w:bCs/>
          <w:sz w:val="24"/>
        </w:rPr>
        <w:t>11</w:t>
      </w:r>
      <w:r>
        <w:rPr>
          <w:rFonts w:hint="eastAsia" w:ascii="宋体"/>
          <w:bCs/>
          <w:sz w:val="24"/>
        </w:rPr>
        <w:t>.本协议壹式肆份，由甲方、甲方用户单位、乙方、嘉庚创新实验室资产采购管理室各执壹份，具有同等法律效力。</w:t>
      </w:r>
    </w:p>
    <w:p>
      <w:pPr>
        <w:spacing w:line="400" w:lineRule="exact"/>
        <w:jc w:val="left"/>
        <w:rPr>
          <w:rFonts w:ascii="宋体"/>
          <w:bCs/>
          <w:sz w:val="24"/>
        </w:rPr>
      </w:pPr>
    </w:p>
    <w:p>
      <w:pPr>
        <w:spacing w:line="400" w:lineRule="exact"/>
        <w:rPr>
          <w:bCs/>
          <w:sz w:val="24"/>
        </w:rPr>
      </w:pPr>
      <w:r>
        <w:rPr>
          <w:rFonts w:hint="eastAsia" w:ascii="宋体"/>
          <w:bCs/>
          <w:sz w:val="24"/>
        </w:rPr>
        <w:t>甲方：嘉庚创新实验室</w:t>
      </w:r>
      <w:r>
        <w:rPr>
          <w:rFonts w:hint="eastAsia"/>
          <w:bCs/>
          <w:sz w:val="24"/>
        </w:rPr>
        <w:t xml:space="preserve">              </w:t>
      </w:r>
      <w:r>
        <w:rPr>
          <w:rFonts w:hint="eastAsia" w:ascii="宋体"/>
          <w:bCs/>
          <w:sz w:val="24"/>
        </w:rPr>
        <w:t>乙方：</w:t>
      </w:r>
    </w:p>
    <w:p>
      <w:pPr>
        <w:spacing w:line="400" w:lineRule="exact"/>
        <w:ind w:left="627" w:leftChars="13" w:hanging="600" w:hangingChars="250"/>
        <w:rPr>
          <w:rFonts w:ascii="宋体"/>
          <w:bCs/>
          <w:sz w:val="24"/>
        </w:rPr>
      </w:pPr>
      <w:r>
        <w:rPr>
          <w:rFonts w:hint="eastAsia" w:ascii="宋体"/>
          <w:bCs/>
          <w:sz w:val="24"/>
        </w:rPr>
        <w:t>地址：                            地址：</w:t>
      </w:r>
    </w:p>
    <w:p>
      <w:pPr>
        <w:spacing w:line="400" w:lineRule="exact"/>
        <w:rPr>
          <w:rFonts w:ascii="宋体"/>
          <w:bCs/>
          <w:sz w:val="24"/>
        </w:rPr>
      </w:pPr>
      <w:r>
        <w:rPr>
          <w:rFonts w:hint="eastAsia" w:ascii="宋体"/>
          <w:bCs/>
          <w:sz w:val="24"/>
        </w:rPr>
        <w:t>用户代表人：                      法定代表人：</w:t>
      </w:r>
    </w:p>
    <w:p>
      <w:pPr>
        <w:spacing w:line="400" w:lineRule="exact"/>
        <w:rPr>
          <w:rFonts w:ascii="宋体"/>
          <w:bCs/>
          <w:sz w:val="24"/>
        </w:rPr>
      </w:pPr>
      <w:r>
        <w:rPr>
          <w:rFonts w:hint="eastAsia" w:ascii="宋体"/>
          <w:bCs/>
          <w:sz w:val="24"/>
        </w:rPr>
        <w:t>电话：                            委托代表人：</w:t>
      </w:r>
    </w:p>
    <w:p>
      <w:pPr>
        <w:spacing w:line="400" w:lineRule="exact"/>
        <w:rPr>
          <w:rFonts w:ascii="宋体"/>
          <w:bCs/>
          <w:sz w:val="24"/>
        </w:rPr>
      </w:pPr>
      <w:r>
        <w:rPr>
          <w:rFonts w:hint="eastAsia" w:ascii="宋体"/>
          <w:bCs/>
          <w:sz w:val="24"/>
        </w:rPr>
        <w:t>移动电话：                        电话：</w:t>
      </w:r>
    </w:p>
    <w:p>
      <w:pPr>
        <w:spacing w:line="400" w:lineRule="exact"/>
        <w:rPr>
          <w:rFonts w:ascii="宋体"/>
          <w:bCs/>
          <w:sz w:val="24"/>
        </w:rPr>
      </w:pPr>
      <w:r>
        <w:rPr>
          <w:rFonts w:hint="eastAsia" w:ascii="宋体"/>
          <w:bCs/>
          <w:sz w:val="24"/>
        </w:rPr>
        <w:t>日期：                            传真：</w:t>
      </w:r>
    </w:p>
    <w:p>
      <w:pPr>
        <w:spacing w:line="400" w:lineRule="exact"/>
        <w:ind w:left="-78"/>
        <w:rPr>
          <w:rFonts w:ascii="宋体"/>
          <w:bCs/>
          <w:sz w:val="24"/>
        </w:rPr>
      </w:pPr>
      <w:r>
        <w:rPr>
          <w:rFonts w:hint="eastAsia" w:ascii="宋体"/>
          <w:bCs/>
          <w:sz w:val="24"/>
        </w:rPr>
        <w:t xml:space="preserve">                                   日期：</w:t>
      </w:r>
    </w:p>
    <w:p>
      <w:pPr>
        <w:spacing w:line="400" w:lineRule="exact"/>
        <w:ind w:left="-78"/>
        <w:rPr>
          <w:rFonts w:ascii="宋体"/>
          <w:bCs/>
          <w:sz w:val="24"/>
        </w:rPr>
      </w:pPr>
      <w:r>
        <w:rPr>
          <w:rFonts w:hint="eastAsia" w:ascii="宋体"/>
          <w:bCs/>
          <w:sz w:val="24"/>
        </w:rPr>
        <w:t>用户代表人所在单位签章：</w:t>
      </w:r>
    </w:p>
    <w:p>
      <w:pPr>
        <w:spacing w:line="360" w:lineRule="auto"/>
        <w:ind w:firstLine="4080" w:firstLineChars="1700"/>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rPr>
          <w:b/>
          <w:bCs/>
          <w:color w:val="000000"/>
          <w:sz w:val="28"/>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widowControl/>
        <w:jc w:val="left"/>
        <w:rPr>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8"/>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4"/>
  </w:num>
  <w:num w:numId="4">
    <w:abstractNumId w:val="6"/>
  </w:num>
  <w:num w:numId="5">
    <w:abstractNumId w:val="9"/>
  </w:num>
  <w:num w:numId="6">
    <w:abstractNumId w:val="5"/>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7006A"/>
    <w:rsid w:val="00080244"/>
    <w:rsid w:val="000A473E"/>
    <w:rsid w:val="000D16EE"/>
    <w:rsid w:val="000F3864"/>
    <w:rsid w:val="00111B2D"/>
    <w:rsid w:val="00125724"/>
    <w:rsid w:val="001301B5"/>
    <w:rsid w:val="0013555B"/>
    <w:rsid w:val="00143854"/>
    <w:rsid w:val="00163D07"/>
    <w:rsid w:val="001834FA"/>
    <w:rsid w:val="001A5CE4"/>
    <w:rsid w:val="001B3020"/>
    <w:rsid w:val="001F0072"/>
    <w:rsid w:val="001F4078"/>
    <w:rsid w:val="001F41D1"/>
    <w:rsid w:val="002024AD"/>
    <w:rsid w:val="00205C91"/>
    <w:rsid w:val="00221BBE"/>
    <w:rsid w:val="002577C3"/>
    <w:rsid w:val="00271E4F"/>
    <w:rsid w:val="002D63AE"/>
    <w:rsid w:val="00357598"/>
    <w:rsid w:val="00363E7F"/>
    <w:rsid w:val="003952B5"/>
    <w:rsid w:val="003A7214"/>
    <w:rsid w:val="003B5EF3"/>
    <w:rsid w:val="003D0806"/>
    <w:rsid w:val="003E17BF"/>
    <w:rsid w:val="00404174"/>
    <w:rsid w:val="004443A9"/>
    <w:rsid w:val="00454B35"/>
    <w:rsid w:val="00466E9E"/>
    <w:rsid w:val="0049546C"/>
    <w:rsid w:val="004F204B"/>
    <w:rsid w:val="004F2137"/>
    <w:rsid w:val="004F4FE3"/>
    <w:rsid w:val="0050790C"/>
    <w:rsid w:val="00515C0E"/>
    <w:rsid w:val="00592E5C"/>
    <w:rsid w:val="00596EFC"/>
    <w:rsid w:val="005D0327"/>
    <w:rsid w:val="005E39D7"/>
    <w:rsid w:val="00607AB4"/>
    <w:rsid w:val="006216EC"/>
    <w:rsid w:val="00654D85"/>
    <w:rsid w:val="006600C4"/>
    <w:rsid w:val="00666B09"/>
    <w:rsid w:val="006728FA"/>
    <w:rsid w:val="006729E0"/>
    <w:rsid w:val="00675A1F"/>
    <w:rsid w:val="006935E5"/>
    <w:rsid w:val="006B03C3"/>
    <w:rsid w:val="006C7A9B"/>
    <w:rsid w:val="006D1705"/>
    <w:rsid w:val="006F1BDE"/>
    <w:rsid w:val="007239BC"/>
    <w:rsid w:val="00724054"/>
    <w:rsid w:val="007461A8"/>
    <w:rsid w:val="00756C6B"/>
    <w:rsid w:val="00773419"/>
    <w:rsid w:val="00786041"/>
    <w:rsid w:val="007B6902"/>
    <w:rsid w:val="0083518E"/>
    <w:rsid w:val="008B7766"/>
    <w:rsid w:val="008C0304"/>
    <w:rsid w:val="008D56C6"/>
    <w:rsid w:val="008E5357"/>
    <w:rsid w:val="008F1619"/>
    <w:rsid w:val="008F7026"/>
    <w:rsid w:val="00926E68"/>
    <w:rsid w:val="00977991"/>
    <w:rsid w:val="00985BB9"/>
    <w:rsid w:val="00986620"/>
    <w:rsid w:val="00987B37"/>
    <w:rsid w:val="009A147A"/>
    <w:rsid w:val="009B120D"/>
    <w:rsid w:val="009B24A1"/>
    <w:rsid w:val="009B2FE6"/>
    <w:rsid w:val="009E4FB8"/>
    <w:rsid w:val="00A20425"/>
    <w:rsid w:val="00A33A9C"/>
    <w:rsid w:val="00A344A9"/>
    <w:rsid w:val="00A40C44"/>
    <w:rsid w:val="00A47D6B"/>
    <w:rsid w:val="00A51BCE"/>
    <w:rsid w:val="00A76D5B"/>
    <w:rsid w:val="00A9547E"/>
    <w:rsid w:val="00AB32FA"/>
    <w:rsid w:val="00AE539C"/>
    <w:rsid w:val="00AE5D17"/>
    <w:rsid w:val="00AF6147"/>
    <w:rsid w:val="00B2170A"/>
    <w:rsid w:val="00B777BC"/>
    <w:rsid w:val="00BE4315"/>
    <w:rsid w:val="00C21064"/>
    <w:rsid w:val="00C3212D"/>
    <w:rsid w:val="00C37374"/>
    <w:rsid w:val="00C574EF"/>
    <w:rsid w:val="00C57FE6"/>
    <w:rsid w:val="00CF7445"/>
    <w:rsid w:val="00D2251F"/>
    <w:rsid w:val="00D26206"/>
    <w:rsid w:val="00D54DBB"/>
    <w:rsid w:val="00D81E10"/>
    <w:rsid w:val="00D862E1"/>
    <w:rsid w:val="00D92252"/>
    <w:rsid w:val="00D951AF"/>
    <w:rsid w:val="00DD0133"/>
    <w:rsid w:val="00DF3EDC"/>
    <w:rsid w:val="00E17D65"/>
    <w:rsid w:val="00E352C8"/>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1F35"/>
    <w:rsid w:val="00FA57DF"/>
    <w:rsid w:val="00FF5F77"/>
    <w:rsid w:val="02CD095B"/>
    <w:rsid w:val="03CE29EE"/>
    <w:rsid w:val="06111F76"/>
    <w:rsid w:val="0A7E7906"/>
    <w:rsid w:val="0BE03768"/>
    <w:rsid w:val="0BF31554"/>
    <w:rsid w:val="0C9F322F"/>
    <w:rsid w:val="0DE5021F"/>
    <w:rsid w:val="1054421D"/>
    <w:rsid w:val="124C124F"/>
    <w:rsid w:val="12B341EA"/>
    <w:rsid w:val="14DA42F1"/>
    <w:rsid w:val="153F4078"/>
    <w:rsid w:val="19DC45B9"/>
    <w:rsid w:val="1AB4167B"/>
    <w:rsid w:val="1BA33F18"/>
    <w:rsid w:val="1CD91C97"/>
    <w:rsid w:val="1FC856F7"/>
    <w:rsid w:val="213304E0"/>
    <w:rsid w:val="218D543C"/>
    <w:rsid w:val="261418AC"/>
    <w:rsid w:val="262554A0"/>
    <w:rsid w:val="299A5204"/>
    <w:rsid w:val="2ADA0F0C"/>
    <w:rsid w:val="2D126148"/>
    <w:rsid w:val="2DA57A2F"/>
    <w:rsid w:val="2DDB6773"/>
    <w:rsid w:val="2E18449A"/>
    <w:rsid w:val="2EA64C67"/>
    <w:rsid w:val="2ED71E23"/>
    <w:rsid w:val="2FE50145"/>
    <w:rsid w:val="310F4F7A"/>
    <w:rsid w:val="326B7E8B"/>
    <w:rsid w:val="3375635B"/>
    <w:rsid w:val="34826751"/>
    <w:rsid w:val="35570C1E"/>
    <w:rsid w:val="36D36FF4"/>
    <w:rsid w:val="376357E1"/>
    <w:rsid w:val="380A3047"/>
    <w:rsid w:val="39F4487A"/>
    <w:rsid w:val="3ABA67BF"/>
    <w:rsid w:val="3E357A0D"/>
    <w:rsid w:val="40EF77EF"/>
    <w:rsid w:val="43E942BE"/>
    <w:rsid w:val="441473E3"/>
    <w:rsid w:val="483B62A9"/>
    <w:rsid w:val="4A8D603B"/>
    <w:rsid w:val="4B6B5642"/>
    <w:rsid w:val="4F4B7F6C"/>
    <w:rsid w:val="50275A13"/>
    <w:rsid w:val="5152568B"/>
    <w:rsid w:val="536B6672"/>
    <w:rsid w:val="554C18B3"/>
    <w:rsid w:val="571031C9"/>
    <w:rsid w:val="57392AF0"/>
    <w:rsid w:val="578B162C"/>
    <w:rsid w:val="5A6F4ABB"/>
    <w:rsid w:val="5C0A558A"/>
    <w:rsid w:val="5C113B6C"/>
    <w:rsid w:val="5DD01792"/>
    <w:rsid w:val="61264F5A"/>
    <w:rsid w:val="62170FA9"/>
    <w:rsid w:val="6366494C"/>
    <w:rsid w:val="65665DBA"/>
    <w:rsid w:val="65B91FD2"/>
    <w:rsid w:val="66DC32E6"/>
    <w:rsid w:val="67590123"/>
    <w:rsid w:val="699924A6"/>
    <w:rsid w:val="6A6A1446"/>
    <w:rsid w:val="6ACC0F78"/>
    <w:rsid w:val="6BE76F67"/>
    <w:rsid w:val="6C371214"/>
    <w:rsid w:val="6D82743B"/>
    <w:rsid w:val="6E7A72C6"/>
    <w:rsid w:val="6EB56E53"/>
    <w:rsid w:val="73994F5F"/>
    <w:rsid w:val="76A7334B"/>
    <w:rsid w:val="776677DD"/>
    <w:rsid w:val="77F444EC"/>
    <w:rsid w:val="78574106"/>
    <w:rsid w:val="7C127361"/>
    <w:rsid w:val="7CB04D3C"/>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5">
    <w:name w:val="Plain Text"/>
    <w:basedOn w:val="1"/>
    <w:link w:val="15"/>
    <w:qFormat/>
    <w:uiPriority w:val="0"/>
    <w:rPr>
      <w:rFonts w:ascii="宋体" w:hAnsi="Courier New" w:cs="Courier New"/>
      <w:szCs w:val="21"/>
    </w:rPr>
  </w:style>
  <w:style w:type="paragraph" w:styleId="6">
    <w:name w:val="Body Text Indent 2"/>
    <w:basedOn w:val="1"/>
    <w:link w:val="16"/>
    <w:unhideWhenUsed/>
    <w:qFormat/>
    <w:uiPriority w:val="0"/>
    <w:pPr>
      <w:spacing w:after="120" w:line="480" w:lineRule="auto"/>
      <w:ind w:left="420" w:leftChars="200"/>
    </w:pPr>
  </w:style>
  <w:style w:type="paragraph" w:styleId="7">
    <w:name w:val="Balloon Text"/>
    <w:basedOn w:val="1"/>
    <w:link w:val="23"/>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36" w:after="68"/>
      <w:jc w:val="left"/>
    </w:pPr>
    <w:rPr>
      <w:rFonts w:ascii="Verdana" w:hAnsi="Verdana" w:cs="宋体"/>
      <w:color w:val="333333"/>
      <w:kern w:val="0"/>
      <w:sz w:val="16"/>
      <w:szCs w:val="16"/>
    </w:rPr>
  </w:style>
  <w:style w:type="character" w:styleId="13">
    <w:name w:val="Hyperlink"/>
    <w:basedOn w:val="12"/>
    <w:semiHidden/>
    <w:unhideWhenUsed/>
    <w:qFormat/>
    <w:uiPriority w:val="99"/>
    <w:rPr>
      <w:color w:val="0000FF"/>
      <w:u w:val="single"/>
    </w:rPr>
  </w:style>
  <w:style w:type="character" w:customStyle="1" w:styleId="14">
    <w:name w:val="标题 1 字符"/>
    <w:basedOn w:val="12"/>
    <w:link w:val="2"/>
    <w:qFormat/>
    <w:uiPriority w:val="99"/>
    <w:rPr>
      <w:rFonts w:ascii="宋体" w:hAnsi="Times New Roman" w:eastAsia="宋体" w:cs="Times New Roman"/>
      <w:b/>
      <w:kern w:val="44"/>
      <w:sz w:val="32"/>
      <w:szCs w:val="20"/>
    </w:rPr>
  </w:style>
  <w:style w:type="character" w:customStyle="1" w:styleId="15">
    <w:name w:val="纯文本 字符"/>
    <w:basedOn w:val="12"/>
    <w:link w:val="5"/>
    <w:qFormat/>
    <w:uiPriority w:val="0"/>
    <w:rPr>
      <w:rFonts w:ascii="宋体" w:hAnsi="Courier New" w:eastAsia="宋体" w:cs="Courier New"/>
      <w:szCs w:val="21"/>
    </w:rPr>
  </w:style>
  <w:style w:type="character" w:customStyle="1" w:styleId="16">
    <w:name w:val="正文文本缩进 2 字符"/>
    <w:basedOn w:val="12"/>
    <w:link w:val="6"/>
    <w:qFormat/>
    <w:uiPriority w:val="0"/>
    <w:rPr>
      <w:rFonts w:ascii="Times New Roman" w:hAnsi="Times New Roman" w:eastAsia="宋体" w:cs="Times New Roman"/>
      <w:szCs w:val="24"/>
    </w:rPr>
  </w:style>
  <w:style w:type="character" w:customStyle="1" w:styleId="17">
    <w:name w:val="页脚 字符"/>
    <w:basedOn w:val="12"/>
    <w:link w:val="8"/>
    <w:qFormat/>
    <w:uiPriority w:val="99"/>
    <w:rPr>
      <w:rFonts w:ascii="Times New Roman" w:hAnsi="Times New Roman" w:eastAsia="宋体" w:cs="Times New Roman"/>
      <w:sz w:val="18"/>
      <w:szCs w:val="18"/>
    </w:rPr>
  </w:style>
  <w:style w:type="character" w:customStyle="1" w:styleId="18">
    <w:name w:val="页眉 字符"/>
    <w:basedOn w:val="12"/>
    <w:link w:val="9"/>
    <w:qFormat/>
    <w:uiPriority w:val="99"/>
    <w:rPr>
      <w:rFonts w:ascii="Times New Roman" w:hAnsi="Times New Roman" w:eastAsia="宋体" w:cs="Times New Roman"/>
      <w:sz w:val="18"/>
      <w:szCs w:val="18"/>
    </w:rPr>
  </w:style>
  <w:style w:type="paragraph" w:customStyle="1" w:styleId="19">
    <w:name w:val="列出段落1"/>
    <w:basedOn w:val="1"/>
    <w:qFormat/>
    <w:uiPriority w:val="34"/>
    <w:pPr>
      <w:ind w:firstLine="420" w:firstLineChars="200"/>
    </w:pPr>
  </w:style>
  <w:style w:type="paragraph" w:customStyle="1" w:styleId="20">
    <w:name w:val="样式1"/>
    <w:basedOn w:val="5"/>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1">
    <w:name w:val="p0"/>
    <w:basedOn w:val="1"/>
    <w:qFormat/>
    <w:uiPriority w:val="0"/>
    <w:pPr>
      <w:widowControl/>
    </w:pPr>
    <w:rPr>
      <w:kern w:val="0"/>
      <w:szCs w:val="21"/>
    </w:rPr>
  </w:style>
  <w:style w:type="paragraph" w:styleId="22">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3">
    <w:name w:val="批注框文本 字符"/>
    <w:basedOn w:val="12"/>
    <w:link w:val="7"/>
    <w:semiHidden/>
    <w:qFormat/>
    <w:uiPriority w:val="99"/>
    <w:rPr>
      <w:rFonts w:ascii="Times New Roman" w:hAnsi="Times New Roman" w:eastAsia="宋体" w:cs="Times New Roman"/>
      <w:sz w:val="18"/>
      <w:szCs w:val="18"/>
    </w:rPr>
  </w:style>
  <w:style w:type="paragraph" w:customStyle="1" w:styleId="24">
    <w:name w:val="样式3"/>
    <w:basedOn w:val="5"/>
    <w:qFormat/>
    <w:uiPriority w:val="0"/>
    <w:pPr>
      <w:spacing w:line="0" w:lineRule="atLeast"/>
      <w:outlineLvl w:val="0"/>
    </w:pPr>
    <w:rPr>
      <w:rFonts w:cs="Times New Roman"/>
      <w:sz w:val="28"/>
      <w:szCs w:val="24"/>
    </w:rPr>
  </w:style>
  <w:style w:type="character" w:styleId="25">
    <w:name w:val="Placeholder Text"/>
    <w:basedOn w:val="1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E0E4B1-ACD7-41B1-8C3F-BB95984EF855}">
  <ds:schemaRefs/>
</ds:datastoreItem>
</file>

<file path=docProps/app.xml><?xml version="1.0" encoding="utf-8"?>
<Properties xmlns="http://schemas.openxmlformats.org/officeDocument/2006/extended-properties" xmlns:vt="http://schemas.openxmlformats.org/officeDocument/2006/docPropsVTypes">
  <Template>Normal.dotm</Template>
  <Company>kk</Company>
  <Pages>26</Pages>
  <Words>2074</Words>
  <Characters>11824</Characters>
  <Lines>98</Lines>
  <Paragraphs>27</Paragraphs>
  <TotalTime>77</TotalTime>
  <ScaleCrop>false</ScaleCrop>
  <LinksUpToDate>false</LinksUpToDate>
  <CharactersWithSpaces>13871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2021-04-08T00:57:00Z</dcterms:created>
  <dc:creator>朱水林</dc:creator>
  <cp:lastModifiedBy>旧猫</cp:lastModifiedBy>
  <dcterms:modified xsi:type="dcterms:W3CDTF">2021-06-08T08:24:31Z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385DC07266B14BF6B989DA607E7D3D43</vt:lpwstr>
  </property>
</Properties>
</file>