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ind w:firstLine="3253" w:firstLineChars="900"/>
        <w:rPr>
          <w:rFonts w:ascii="宋体" w:hAnsi="宋体"/>
          <w:b/>
          <w:bCs/>
          <w:sz w:val="36"/>
          <w:szCs w:val="28"/>
        </w:rPr>
      </w:pPr>
    </w:p>
    <w:p>
      <w:pPr>
        <w:ind w:firstLine="2891" w:firstLineChars="800"/>
        <w:rPr>
          <w:rFonts w:ascii="宋体" w:hAnsi="宋体"/>
          <w:b/>
          <w:bCs/>
          <w:sz w:val="36"/>
          <w:szCs w:val="28"/>
        </w:rPr>
      </w:pPr>
      <w:r>
        <w:rPr>
          <w:rFonts w:hint="eastAsia" w:ascii="宋体" w:hAnsi="宋体"/>
          <w:b/>
          <w:bCs/>
          <w:sz w:val="36"/>
          <w:szCs w:val="28"/>
        </w:rPr>
        <w:t>矢量网络分析仪</w:t>
      </w:r>
    </w:p>
    <w:p>
      <w:pPr>
        <w:ind w:firstLine="2168" w:firstLineChars="600"/>
        <w:rPr>
          <w:rFonts w:ascii="宋体" w:hAnsi="宋体"/>
          <w:b/>
          <w:bCs/>
          <w:sz w:val="36"/>
          <w:szCs w:val="28"/>
        </w:rPr>
      </w:pPr>
    </w:p>
    <w:p>
      <w:pPr>
        <w:spacing w:line="360" w:lineRule="auto"/>
        <w:jc w:val="center"/>
        <w:rPr>
          <w:rFonts w:ascii="宋体" w:hAnsi="宋体"/>
          <w:b/>
          <w:bCs/>
          <w:sz w:val="36"/>
          <w:szCs w:val="36"/>
        </w:rPr>
      </w:pPr>
      <w:r>
        <w:rPr>
          <w:rFonts w:hint="eastAsia" w:ascii="宋体" w:hAnsi="宋体"/>
          <w:b/>
          <w:bCs/>
          <w:sz w:val="36"/>
          <w:szCs w:val="28"/>
        </w:rPr>
        <w:t xml:space="preserve"> 采购编号：</w:t>
      </w:r>
      <w:r>
        <w:rPr>
          <w:rFonts w:hint="eastAsia" w:ascii="宋体" w:hAnsi="宋体"/>
          <w:b/>
          <w:sz w:val="36"/>
          <w:szCs w:val="36"/>
        </w:rPr>
        <w:t>JGYQ-2021TP-</w:t>
      </w:r>
      <w:r>
        <w:rPr>
          <w:rFonts w:ascii="宋体" w:hAnsi="宋体"/>
          <w:b/>
          <w:sz w:val="36"/>
          <w:szCs w:val="36"/>
        </w:rPr>
        <w:t xml:space="preserve">046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1年</w:t>
      </w:r>
      <w:r>
        <w:rPr>
          <w:rFonts w:ascii="宋体" w:hAnsi="宋体"/>
          <w:b/>
          <w:bCs/>
          <w:sz w:val="28"/>
          <w:szCs w:val="28"/>
        </w:rPr>
        <w:t>7</w:t>
      </w:r>
      <w:r>
        <w:rPr>
          <w:rFonts w:hint="eastAsia" w:ascii="宋体" w:hAnsi="宋体"/>
          <w:b/>
          <w:bCs/>
          <w:sz w:val="28"/>
          <w:szCs w:val="28"/>
        </w:rPr>
        <w:t>月</w:t>
      </w:r>
      <w:r>
        <w:rPr>
          <w:rFonts w:ascii="宋体" w:hAnsi="宋体"/>
          <w:b/>
          <w:bCs/>
          <w:sz w:val="28"/>
          <w:szCs w:val="28"/>
        </w:rPr>
        <w:t>5</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矢量网络分析仪</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采购编号：JGYQ-2021TP-0</w:t>
      </w:r>
      <w:r>
        <w:rPr>
          <w:rFonts w:ascii="宋体" w:hAnsi="宋体"/>
          <w:sz w:val="28"/>
          <w:szCs w:val="28"/>
        </w:rPr>
        <w:t>46</w:t>
      </w:r>
    </w:p>
    <w:p>
      <w:pPr>
        <w:numPr>
          <w:ilvl w:val="0"/>
          <w:numId w:val="2"/>
        </w:numPr>
        <w:spacing w:line="360" w:lineRule="auto"/>
        <w:rPr>
          <w:rFonts w:ascii="宋体"/>
          <w:sz w:val="28"/>
          <w:szCs w:val="28"/>
        </w:rPr>
      </w:pPr>
      <w:r>
        <w:rPr>
          <w:rFonts w:hint="eastAsia" w:ascii="宋体" w:hAnsi="宋体"/>
          <w:sz w:val="28"/>
          <w:szCs w:val="28"/>
        </w:rPr>
        <w:t>采购项目：矢量网络分析仪</w:t>
      </w:r>
    </w:p>
    <w:p>
      <w:pPr>
        <w:numPr>
          <w:ilvl w:val="0"/>
          <w:numId w:val="2"/>
        </w:numPr>
        <w:spacing w:line="360" w:lineRule="auto"/>
        <w:rPr>
          <w:rFonts w:ascii="宋体"/>
          <w:sz w:val="28"/>
          <w:szCs w:val="28"/>
        </w:rPr>
      </w:pPr>
      <w:r>
        <w:rPr>
          <w:rFonts w:hint="eastAsia" w:ascii="宋体" w:hAnsi="宋体"/>
          <w:sz w:val="28"/>
          <w:szCs w:val="28"/>
        </w:rPr>
        <w:t>采购预算：本项目预算人民币</w:t>
      </w:r>
      <w:r>
        <w:rPr>
          <w:rFonts w:ascii="宋体" w:hAnsi="宋体"/>
          <w:sz w:val="28"/>
          <w:szCs w:val="28"/>
        </w:rPr>
        <w:t xml:space="preserve">805000 </w:t>
      </w:r>
      <w:r>
        <w:rPr>
          <w:rFonts w:hint="eastAsia" w:ascii="宋体" w:hAnsi="宋体"/>
          <w:sz w:val="28"/>
          <w:szCs w:val="28"/>
        </w:rPr>
        <w:t>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报价截止和磋商时间：2021年</w:t>
      </w:r>
      <w:r>
        <w:rPr>
          <w:rFonts w:ascii="宋体" w:hAnsi="宋体"/>
          <w:sz w:val="28"/>
          <w:szCs w:val="28"/>
        </w:rPr>
        <w:t>7</w:t>
      </w:r>
      <w:r>
        <w:rPr>
          <w:rFonts w:hint="eastAsia" w:ascii="宋体" w:hAnsi="宋体"/>
          <w:sz w:val="28"/>
          <w:szCs w:val="28"/>
        </w:rPr>
        <w:t>月</w:t>
      </w:r>
      <w:r>
        <w:rPr>
          <w:rFonts w:ascii="宋体" w:hAnsi="宋体"/>
          <w:sz w:val="28"/>
          <w:szCs w:val="28"/>
        </w:rPr>
        <w:t>16</w:t>
      </w:r>
      <w:r>
        <w:rPr>
          <w:rFonts w:hint="eastAsia" w:ascii="宋体" w:hAnsi="宋体"/>
          <w:sz w:val="28"/>
          <w:szCs w:val="28"/>
        </w:rPr>
        <w:t>日下午</w:t>
      </w:r>
      <w:r>
        <w:rPr>
          <w:rFonts w:ascii="宋体" w:hAnsi="宋体"/>
          <w:sz w:val="28"/>
          <w:szCs w:val="28"/>
        </w:rPr>
        <w:t>3</w:t>
      </w:r>
      <w:r>
        <w:rPr>
          <w:rFonts w:hint="eastAsia" w:ascii="宋体" w:hAnsi="宋体"/>
          <w:sz w:val="28"/>
          <w:szCs w:val="28"/>
        </w:rPr>
        <w:t>：</w:t>
      </w:r>
      <w:r>
        <w:rPr>
          <w:rFonts w:ascii="宋体" w:hAnsi="宋体"/>
          <w:sz w:val="28"/>
          <w:szCs w:val="28"/>
        </w:rPr>
        <w:t>0</w:t>
      </w:r>
      <w:r>
        <w:rPr>
          <w:rFonts w:hint="eastAsia" w:ascii="宋体" w:hAnsi="宋体"/>
          <w:sz w:val="28"/>
          <w:szCs w:val="28"/>
        </w:rPr>
        <w:t>0</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报名及磋商文件发售截至时间：报价人必须在2021年</w:t>
      </w:r>
      <w:r>
        <w:rPr>
          <w:rFonts w:ascii="宋体" w:hAnsi="宋体"/>
          <w:sz w:val="28"/>
          <w:szCs w:val="28"/>
        </w:rPr>
        <w:t>7</w:t>
      </w:r>
      <w:r>
        <w:rPr>
          <w:rFonts w:hint="eastAsia" w:ascii="宋体" w:hAnsi="宋体"/>
          <w:sz w:val="28"/>
          <w:szCs w:val="28"/>
        </w:rPr>
        <w:t>月</w:t>
      </w:r>
      <w:r>
        <w:rPr>
          <w:rFonts w:ascii="宋体" w:hAnsi="宋体"/>
          <w:sz w:val="28"/>
          <w:szCs w:val="28"/>
        </w:rPr>
        <w:t>15</w:t>
      </w:r>
      <w:r>
        <w:rPr>
          <w:rFonts w:hint="eastAsia" w:ascii="宋体" w:hAnsi="宋体"/>
          <w:sz w:val="28"/>
          <w:szCs w:val="28"/>
        </w:rPr>
        <w:t>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hAnsi="宋体"/>
          <w:sz w:val="28"/>
          <w:szCs w:val="28"/>
        </w:rPr>
        <w:t>开标地点：厦门市思明南路422号厦门大学颂恩楼615室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ascii="宋体" w:hAnsi="宋体" w:cs="宋体"/>
          <w:color w:val="000000"/>
          <w:sz w:val="28"/>
          <w:szCs w:val="28"/>
        </w:rPr>
      </w:pPr>
      <w:r>
        <w:rPr>
          <w:rFonts w:hint="eastAsia" w:ascii="宋体" w:hAnsi="宋体"/>
          <w:sz w:val="28"/>
          <w:szCs w:val="28"/>
        </w:rPr>
        <w:t xml:space="preserve">技术需求方面请联系用户单位：      李老师 </w:t>
      </w:r>
      <w:bookmarkStart w:id="0" w:name="_Hlk76375463"/>
      <w:r>
        <w:rPr>
          <w:rFonts w:hint="eastAsia" w:ascii="宋体" w:hAnsi="宋体" w:cs="宋体"/>
          <w:sz w:val="28"/>
          <w:szCs w:val="28"/>
        </w:rPr>
        <w:t>1</w:t>
      </w:r>
      <w:r>
        <w:rPr>
          <w:rFonts w:ascii="宋体" w:hAnsi="宋体" w:cs="宋体"/>
          <w:sz w:val="28"/>
          <w:szCs w:val="28"/>
        </w:rPr>
        <w:t>3057688266</w:t>
      </w:r>
      <w:bookmarkEnd w:id="0"/>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left="720" w:firstLine="840" w:firstLineChars="300"/>
        <w:rPr>
          <w:rFonts w:ascii="宋体" w:hAnsi="宋体"/>
          <w:sz w:val="28"/>
          <w:szCs w:val="28"/>
        </w:rPr>
      </w:pPr>
      <w:r>
        <w:rPr>
          <w:rFonts w:hint="eastAsia" w:ascii="宋体" w:hAnsi="宋体"/>
          <w:sz w:val="28"/>
          <w:szCs w:val="28"/>
        </w:rPr>
        <w:t>李老师</w:t>
      </w:r>
      <w:r>
        <w:rPr>
          <w:rFonts w:ascii="宋体" w:hAnsi="宋体"/>
          <w:sz w:val="28"/>
          <w:szCs w:val="28"/>
        </w:rPr>
        <w:t xml:space="preserve"> </w:t>
      </w:r>
      <w:r>
        <w:rPr>
          <w:rFonts w:hint="eastAsia" w:ascii="宋体" w:hAnsi="宋体"/>
          <w:sz w:val="28"/>
          <w:szCs w:val="28"/>
        </w:rPr>
        <w:t>0592-2882502</w:t>
      </w:r>
    </w:p>
    <w:p>
      <w:pPr>
        <w:spacing w:line="360" w:lineRule="auto"/>
        <w:ind w:left="720" w:right="560" w:firstLine="1050" w:firstLineChars="500"/>
        <w:jc w:val="left"/>
        <w:rPr>
          <w:rFonts w:ascii="宋体" w:hAnsi="宋体"/>
          <w:sz w:val="28"/>
          <w:szCs w:val="28"/>
        </w:rPr>
      </w:pPr>
      <w:r>
        <w:fldChar w:fldCharType="begin"/>
      </w:r>
      <w:r>
        <w:instrText xml:space="preserve"> HYPERLINK "mailto:li.nan@xmu.edu.cn" </w:instrText>
      </w:r>
      <w:r>
        <w:fldChar w:fldCharType="separate"/>
      </w:r>
      <w:r>
        <w:rPr>
          <w:rStyle w:val="13"/>
          <w:rFonts w:ascii="宋体" w:hAnsi="宋体"/>
          <w:sz w:val="28"/>
          <w:szCs w:val="28"/>
        </w:rPr>
        <w:t>li.nan@xmu.edu.cn</w:t>
      </w:r>
      <w:r>
        <w:rPr>
          <w:rStyle w:val="13"/>
          <w:rFonts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w:t>
      </w:r>
      <w:r>
        <w:rPr>
          <w:rFonts w:hint="eastAsia" w:ascii="宋体" w:hAnsi="宋体"/>
          <w:sz w:val="28"/>
          <w:szCs w:val="28"/>
        </w:rPr>
        <w:t>1年</w:t>
      </w:r>
      <w:r>
        <w:rPr>
          <w:rFonts w:ascii="宋体" w:hAnsi="宋体"/>
          <w:sz w:val="28"/>
          <w:szCs w:val="28"/>
        </w:rPr>
        <w:t>7</w:t>
      </w:r>
      <w:r>
        <w:rPr>
          <w:rFonts w:hint="eastAsia" w:ascii="宋体" w:hAnsi="宋体"/>
          <w:sz w:val="28"/>
          <w:szCs w:val="28"/>
        </w:rPr>
        <w:t>月</w:t>
      </w:r>
      <w:r>
        <w:rPr>
          <w:rFonts w:ascii="宋体" w:hAnsi="宋体"/>
          <w:sz w:val="28"/>
          <w:szCs w:val="28"/>
        </w:rPr>
        <w:t>5</w:t>
      </w:r>
      <w:r>
        <w:rPr>
          <w:rFonts w:hint="eastAsia" w:ascii="宋体" w:hAnsi="宋体"/>
          <w:sz w:val="28"/>
          <w:szCs w:val="28"/>
        </w:rPr>
        <w:t>日</w:t>
      </w:r>
    </w:p>
    <w:p>
      <w:pP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5"/>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5"/>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5"/>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9"/>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1"/>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006"/>
        <w:gridCol w:w="1321"/>
        <w:gridCol w:w="2073"/>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2006"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1321"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2073" w:type="dxa"/>
            <w:shd w:val="clear" w:color="000000" w:fill="FFFFFF"/>
            <w:vAlign w:val="center"/>
          </w:tcPr>
          <w:p>
            <w:pPr>
              <w:widowControl/>
              <w:jc w:val="center"/>
              <w:rPr>
                <w:rFonts w:ascii="宋体" w:hAnsi="宋体"/>
                <w:kern w:val="0"/>
                <w:sz w:val="24"/>
              </w:rPr>
            </w:pPr>
            <w:r>
              <w:rPr>
                <w:rFonts w:hint="eastAsia" w:ascii="宋体" w:hAnsi="宋体"/>
                <w:kern w:val="0"/>
                <w:sz w:val="24"/>
              </w:rPr>
              <w:t>价格</w:t>
            </w:r>
          </w:p>
        </w:tc>
        <w:tc>
          <w:tcPr>
            <w:tcW w:w="2400"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29" w:type="dxa"/>
            <w:vAlign w:val="center"/>
          </w:tcPr>
          <w:p>
            <w:pPr>
              <w:widowControl/>
              <w:jc w:val="center"/>
              <w:rPr>
                <w:color w:val="000000"/>
                <w:kern w:val="0"/>
                <w:sz w:val="20"/>
                <w:szCs w:val="20"/>
              </w:rPr>
            </w:pPr>
            <w:r>
              <w:rPr>
                <w:color w:val="000000"/>
                <w:kern w:val="0"/>
                <w:sz w:val="20"/>
                <w:szCs w:val="20"/>
              </w:rPr>
              <w:t>1</w:t>
            </w:r>
          </w:p>
        </w:tc>
        <w:tc>
          <w:tcPr>
            <w:tcW w:w="2006" w:type="dxa"/>
            <w:shd w:val="clear" w:color="000000" w:fill="FFFFFF"/>
            <w:vAlign w:val="center"/>
          </w:tcPr>
          <w:p>
            <w:pPr>
              <w:widowControl/>
              <w:jc w:val="center"/>
              <w:rPr>
                <w:sz w:val="24"/>
              </w:rPr>
            </w:pPr>
            <w:r>
              <w:rPr>
                <w:rFonts w:hint="eastAsia"/>
                <w:sz w:val="24"/>
              </w:rPr>
              <w:t>矢量网络分析仪</w:t>
            </w:r>
          </w:p>
        </w:tc>
        <w:tc>
          <w:tcPr>
            <w:tcW w:w="1321" w:type="dxa"/>
            <w:shd w:val="clear" w:color="000000" w:fill="FFFFFF"/>
            <w:vAlign w:val="center"/>
          </w:tcPr>
          <w:p>
            <w:pPr>
              <w:widowControl/>
              <w:jc w:val="center"/>
              <w:rPr>
                <w:kern w:val="0"/>
                <w:sz w:val="28"/>
                <w:szCs w:val="20"/>
              </w:rPr>
            </w:pPr>
            <w:r>
              <w:rPr>
                <w:kern w:val="0"/>
                <w:sz w:val="28"/>
                <w:szCs w:val="20"/>
              </w:rPr>
              <w:t>1</w:t>
            </w:r>
          </w:p>
        </w:tc>
        <w:tc>
          <w:tcPr>
            <w:tcW w:w="2073" w:type="dxa"/>
            <w:shd w:val="clear" w:color="000000" w:fill="FFFFFF"/>
            <w:vAlign w:val="center"/>
          </w:tcPr>
          <w:p>
            <w:pPr>
              <w:spacing w:line="360" w:lineRule="auto"/>
              <w:ind w:left="420"/>
              <w:jc w:val="left"/>
              <w:rPr>
                <w:spacing w:val="24"/>
                <w:sz w:val="28"/>
              </w:rPr>
            </w:pPr>
            <w:r>
              <w:rPr>
                <w:rFonts w:hint="eastAsia"/>
                <w:spacing w:val="24"/>
                <w:sz w:val="28"/>
              </w:rPr>
              <w:t>8</w:t>
            </w:r>
            <w:r>
              <w:rPr>
                <w:spacing w:val="24"/>
                <w:sz w:val="28"/>
              </w:rPr>
              <w:t>05000</w:t>
            </w:r>
            <w:r>
              <w:rPr>
                <w:rFonts w:hint="eastAsia"/>
                <w:spacing w:val="24"/>
                <w:sz w:val="28"/>
              </w:rPr>
              <w:t>元</w:t>
            </w:r>
          </w:p>
        </w:tc>
        <w:tc>
          <w:tcPr>
            <w:tcW w:w="2400" w:type="dxa"/>
            <w:shd w:val="clear" w:color="000000" w:fill="FFFFFF"/>
            <w:vAlign w:val="center"/>
          </w:tcPr>
          <w:p>
            <w:pPr>
              <w:spacing w:line="360" w:lineRule="auto"/>
              <w:ind w:left="420"/>
              <w:jc w:val="left"/>
              <w:rPr>
                <w:spacing w:val="24"/>
                <w:sz w:val="28"/>
              </w:rPr>
            </w:pPr>
            <w:r>
              <w:rPr>
                <w:rFonts w:hint="eastAsia"/>
                <w:spacing w:val="24"/>
                <w:sz w:val="28"/>
              </w:rPr>
              <w:t>见附件1</w:t>
            </w:r>
          </w:p>
        </w:tc>
      </w:tr>
    </w:tbl>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100%不可撤销信用证，30%见单即付，70%验收合格后付。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1"/>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1"/>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、保修期：在采购文件上必须对保修期做出承诺。保修期至少一年（招标参数中有明确保修年限要求的按具体要求保修）。保修期自用户验收小组验收合格交付使用之日算起。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0"/>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0"/>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0"/>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0"/>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0"/>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0"/>
          <w:numId w:val="10"/>
        </w:numPr>
        <w:spacing w:line="360" w:lineRule="auto"/>
        <w:rPr>
          <w:b/>
          <w:bCs/>
          <w:color w:val="000000"/>
          <w:sz w:val="32"/>
          <w:szCs w:val="32"/>
        </w:rPr>
      </w:pP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份和副本5份。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1"/>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6"/>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6"/>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6"/>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6"/>
        <w:tabs>
          <w:tab w:val="left" w:pos="0"/>
          <w:tab w:val="left" w:pos="735"/>
        </w:tabs>
        <w:spacing w:line="360" w:lineRule="auto"/>
        <w:rPr>
          <w:rFonts w:hAnsi="宋体"/>
          <w:sz w:val="24"/>
        </w:rPr>
      </w:pPr>
    </w:p>
    <w:p>
      <w:pPr>
        <w:pStyle w:val="6"/>
        <w:tabs>
          <w:tab w:val="left" w:pos="0"/>
          <w:tab w:val="left" w:pos="735"/>
        </w:tabs>
        <w:spacing w:line="360" w:lineRule="auto"/>
        <w:rPr>
          <w:sz w:val="24"/>
        </w:rPr>
      </w:pPr>
    </w:p>
    <w:p>
      <w:pPr>
        <w:pStyle w:val="6"/>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6"/>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5"/>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5"/>
        <w:snapToGrid w:val="0"/>
        <w:spacing w:line="400" w:lineRule="exact"/>
        <w:ind w:firstLine="560" w:firstLineChars="200"/>
        <w:jc w:val="left"/>
        <w:rPr>
          <w:rFonts w:hAnsi="宋体"/>
          <w:sz w:val="28"/>
          <w:szCs w:val="22"/>
          <w:u w:val="single"/>
        </w:rPr>
      </w:pPr>
    </w:p>
    <w:p>
      <w:pPr>
        <w:pStyle w:val="5"/>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5"/>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5"/>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5"/>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5"/>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5"/>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5"/>
        <w:snapToGrid w:val="0"/>
        <w:spacing w:line="400" w:lineRule="exact"/>
        <w:ind w:firstLine="480" w:firstLineChars="200"/>
        <w:jc w:val="left"/>
        <w:rPr>
          <w:rFonts w:hAnsi="宋体"/>
          <w:sz w:val="24"/>
        </w:rPr>
      </w:pPr>
      <w:r>
        <w:rPr>
          <w:rFonts w:hint="eastAsia" w:hAnsi="宋体"/>
          <w:sz w:val="24"/>
        </w:rPr>
        <w:t xml:space="preserve">投标人名称：                               </w:t>
      </w:r>
    </w:p>
    <w:p>
      <w:pPr>
        <w:pStyle w:val="5"/>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5"/>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5"/>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5"/>
        <w:snapToGrid w:val="0"/>
        <w:spacing w:line="400" w:lineRule="exact"/>
        <w:ind w:firstLine="480" w:firstLineChars="200"/>
        <w:jc w:val="left"/>
        <w:rPr>
          <w:rFonts w:hAnsi="宋体"/>
          <w:sz w:val="24"/>
        </w:rPr>
      </w:pPr>
      <w:r>
        <w:rPr>
          <w:rFonts w:hint="eastAsia" w:hAnsi="宋体"/>
          <w:sz w:val="24"/>
        </w:rPr>
        <w:t>本授权书自出具之日起生效。</w:t>
      </w:r>
    </w:p>
    <w:p>
      <w:pPr>
        <w:pStyle w:val="5"/>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1" w:name="_Toc323741898"/>
      <w:bookmarkStart w:id="2" w:name="_Toc184550797"/>
      <w:bookmarkStart w:id="3" w:name="_Toc238290496"/>
      <w:bookmarkStart w:id="4" w:name="_Toc184176484"/>
      <w:bookmarkStart w:id="5" w:name="_Toc256416592"/>
      <w:r>
        <w:rPr>
          <w:rFonts w:hint="eastAsia"/>
          <w:sz w:val="24"/>
        </w:rPr>
        <w:t>附：被授权人身份证件</w:t>
      </w:r>
    </w:p>
    <w:p>
      <w:pPr>
        <w:pStyle w:val="24"/>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1"/>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4"/>
              <w:rPr>
                <w:sz w:val="32"/>
              </w:rPr>
            </w:pPr>
            <w:bookmarkStart w:id="6" w:name="_Toc418491550"/>
            <w:bookmarkStart w:id="7" w:name="_Toc433037128"/>
            <w:bookmarkStart w:id="8" w:name="_Toc415124198"/>
            <w:bookmarkStart w:id="9" w:name="_Toc415124366"/>
            <w:r>
              <w:rPr>
                <w:rFonts w:hint="eastAsia"/>
                <w:sz w:val="32"/>
              </w:rPr>
              <w:t>（</w:t>
            </w:r>
            <w:r>
              <w:rPr>
                <w:rFonts w:hint="eastAsia"/>
                <w:sz w:val="24"/>
              </w:rPr>
              <w:t>报价代表身份证正面复印件）</w:t>
            </w:r>
            <w:bookmarkEnd w:id="6"/>
            <w:bookmarkEnd w:id="7"/>
            <w:bookmarkEnd w:id="8"/>
            <w:bookmarkEnd w:id="9"/>
          </w:p>
        </w:tc>
        <w:tc>
          <w:tcPr>
            <w:tcW w:w="4522" w:type="dxa"/>
            <w:vAlign w:val="center"/>
          </w:tcPr>
          <w:p>
            <w:pPr>
              <w:pStyle w:val="24"/>
              <w:rPr>
                <w:sz w:val="32"/>
              </w:rPr>
            </w:pPr>
            <w:bookmarkStart w:id="10" w:name="_Toc415124367"/>
            <w:bookmarkStart w:id="11" w:name="_Toc415124199"/>
            <w:bookmarkStart w:id="12" w:name="_Toc433037129"/>
            <w:bookmarkStart w:id="13" w:name="_Toc418491551"/>
            <w:r>
              <w:rPr>
                <w:rFonts w:hint="eastAsia"/>
                <w:sz w:val="32"/>
              </w:rPr>
              <w:t>（</w:t>
            </w:r>
            <w:r>
              <w:rPr>
                <w:rFonts w:hint="eastAsia"/>
                <w:sz w:val="24"/>
              </w:rPr>
              <w:t>报价代表身份证反面复印件）</w:t>
            </w:r>
            <w:bookmarkEnd w:id="10"/>
            <w:bookmarkEnd w:id="11"/>
            <w:bookmarkEnd w:id="12"/>
            <w:bookmarkEnd w:id="13"/>
          </w:p>
        </w:tc>
      </w:tr>
      <w:bookmarkEnd w:id="1"/>
      <w:bookmarkEnd w:id="2"/>
      <w:bookmarkEnd w:id="3"/>
      <w:bookmarkEnd w:id="4"/>
      <w:bookmarkEnd w:id="5"/>
    </w:tbl>
    <w:p>
      <w:pPr>
        <w:pStyle w:val="6"/>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rFonts w:ascii="宋体" w:hAnsi="宋体"/>
          <w:sz w:val="24"/>
        </w:rPr>
      </w:pPr>
      <w:r>
        <w:rPr>
          <w:rFonts w:hint="eastAsia" w:ascii="宋体" w:hAnsi="宋体"/>
          <w:sz w:val="24"/>
        </w:rPr>
        <w:t>日期：  年   月    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bCs/>
          <w:sz w:val="28"/>
        </w:rPr>
      </w:pPr>
      <w:r>
        <w:rPr>
          <w:rFonts w:hint="eastAsia"/>
          <w:bCs/>
          <w:sz w:val="28"/>
        </w:rPr>
        <w:t>格式10  供货及技术服务协议</w:t>
      </w:r>
    </w:p>
    <w:p>
      <w:pPr>
        <w:rPr>
          <w:bCs/>
          <w:sz w:val="28"/>
          <w:highlight w:val="yellow"/>
        </w:rPr>
      </w:pPr>
      <w:r>
        <w:rPr>
          <w:rFonts w:hint="eastAsia"/>
          <w:bCs/>
          <w:sz w:val="28"/>
        </w:rPr>
        <w:t>甲方：嘉庚创新实验室资产采购管理室</w:t>
      </w:r>
    </w:p>
    <w:p>
      <w:pPr>
        <w:rPr>
          <w:bCs/>
          <w:sz w:val="28"/>
        </w:rPr>
      </w:pPr>
      <w:r>
        <w:rPr>
          <w:rFonts w:hint="eastAsia"/>
          <w:bCs/>
          <w:sz w:val="28"/>
        </w:rPr>
        <w:t>（用户单位：     项目组）</w:t>
      </w:r>
    </w:p>
    <w:p>
      <w:pPr>
        <w:rPr>
          <w:bCs/>
          <w:sz w:val="28"/>
        </w:rPr>
      </w:pPr>
      <w:r>
        <w:rPr>
          <w:rFonts w:hint="eastAsia"/>
          <w:bCs/>
          <w:sz w:val="28"/>
        </w:rPr>
        <w:t xml:space="preserve">乙方： </w:t>
      </w:r>
    </w:p>
    <w:p>
      <w:pPr>
        <w:spacing w:line="400" w:lineRule="exact"/>
        <w:ind w:firstLine="480" w:firstLineChars="200"/>
        <w:rPr>
          <w:spacing w:val="24"/>
          <w:sz w:val="24"/>
        </w:rPr>
      </w:pPr>
      <w:r>
        <w:rPr>
          <w:rFonts w:hint="eastAsia" w:ascii="宋体"/>
          <w:sz w:val="24"/>
        </w:rPr>
        <w:t>兹甲方向乙方购买</w:t>
      </w:r>
      <w:r>
        <w:rPr>
          <w:rFonts w:hint="eastAsia"/>
          <w:bCs/>
          <w:sz w:val="28"/>
        </w:rPr>
        <w:sym w:font="Wingdings 2" w:char="F0CD"/>
      </w:r>
      <w:r>
        <w:rPr>
          <w:rFonts w:hint="eastAsia"/>
          <w:bCs/>
          <w:sz w:val="28"/>
        </w:rPr>
        <w:sym w:font="Wingdings 2" w:char="F0CD"/>
      </w:r>
      <w:r>
        <w:rPr>
          <w:rFonts w:hint="eastAsia" w:ascii="宋体"/>
          <w:sz w:val="24"/>
        </w:rPr>
        <w:t>公司生产的</w:t>
      </w:r>
      <w:r>
        <w:rPr>
          <w:rFonts w:hint="eastAsia"/>
          <w:bCs/>
          <w:sz w:val="28"/>
        </w:rPr>
        <w:sym w:font="Wingdings 2" w:char="F0CD"/>
      </w:r>
      <w:r>
        <w:rPr>
          <w:rFonts w:hint="eastAsia"/>
          <w:bCs/>
          <w:sz w:val="28"/>
        </w:rPr>
        <w:sym w:font="Wingdings 2" w:char="F0CD"/>
      </w:r>
      <w:r>
        <w:rPr>
          <w:rFonts w:hint="eastAsia" w:ascii="宋体"/>
          <w:sz w:val="24"/>
        </w:rPr>
        <w:t>，经双方共同议定，达成如下协议</w:t>
      </w:r>
      <w:r>
        <w:rPr>
          <w:rFonts w:hint="eastAsia"/>
          <w:bCs/>
          <w:sz w:val="24"/>
        </w:rPr>
        <w:t>：</w:t>
      </w:r>
    </w:p>
    <w:p>
      <w:pPr>
        <w:tabs>
          <w:tab w:val="left" w:pos="3420"/>
        </w:tabs>
        <w:spacing w:line="400" w:lineRule="exact"/>
        <w:rPr>
          <w:bCs/>
          <w:sz w:val="24"/>
        </w:rPr>
      </w:pPr>
      <w:r>
        <w:rPr>
          <w:rFonts w:hint="eastAsia"/>
          <w:bCs/>
          <w:sz w:val="24"/>
        </w:rPr>
        <w:t>1．供货内容及价格：</w:t>
      </w:r>
    </w:p>
    <w:tbl>
      <w:tblPr>
        <w:tblStyle w:val="11"/>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769"/>
        <w:gridCol w:w="384"/>
        <w:gridCol w:w="1153"/>
        <w:gridCol w:w="1153"/>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152" w:type="dxa"/>
            <w:vAlign w:val="center"/>
          </w:tcPr>
          <w:p>
            <w:pPr>
              <w:spacing w:line="460" w:lineRule="atLeast"/>
              <w:jc w:val="center"/>
              <w:rPr>
                <w:rFonts w:ascii="宋体"/>
                <w:bCs/>
                <w:sz w:val="24"/>
              </w:rPr>
            </w:pPr>
            <w:r>
              <w:rPr>
                <w:rFonts w:hint="eastAsia" w:ascii="宋体"/>
                <w:bCs/>
                <w:sz w:val="24"/>
              </w:rPr>
              <w:t>序号</w:t>
            </w:r>
          </w:p>
        </w:tc>
        <w:tc>
          <w:tcPr>
            <w:tcW w:w="1153" w:type="dxa"/>
            <w:vAlign w:val="center"/>
          </w:tcPr>
          <w:p>
            <w:pPr>
              <w:spacing w:line="460" w:lineRule="atLeast"/>
              <w:jc w:val="center"/>
              <w:rPr>
                <w:rFonts w:ascii="宋体"/>
                <w:bCs/>
                <w:sz w:val="24"/>
              </w:rPr>
            </w:pPr>
            <w:r>
              <w:rPr>
                <w:rFonts w:hint="eastAsia" w:ascii="宋体"/>
                <w:bCs/>
                <w:sz w:val="24"/>
              </w:rPr>
              <w:t>产品</w:t>
            </w:r>
          </w:p>
          <w:p>
            <w:pPr>
              <w:spacing w:line="460" w:lineRule="atLeast"/>
              <w:jc w:val="center"/>
              <w:rPr>
                <w:rFonts w:ascii="宋体"/>
                <w:bCs/>
                <w:sz w:val="24"/>
              </w:rPr>
            </w:pPr>
            <w:r>
              <w:rPr>
                <w:rFonts w:hint="eastAsia" w:ascii="宋体"/>
                <w:bCs/>
                <w:sz w:val="24"/>
              </w:rPr>
              <w:t>名称</w:t>
            </w:r>
          </w:p>
        </w:tc>
        <w:tc>
          <w:tcPr>
            <w:tcW w:w="1153" w:type="dxa"/>
            <w:gridSpan w:val="2"/>
            <w:vAlign w:val="center"/>
          </w:tcPr>
          <w:p>
            <w:pPr>
              <w:spacing w:line="460" w:lineRule="atLeast"/>
              <w:jc w:val="center"/>
              <w:rPr>
                <w:rFonts w:ascii="宋体"/>
                <w:bCs/>
                <w:sz w:val="24"/>
              </w:rPr>
            </w:pPr>
            <w:r>
              <w:rPr>
                <w:rFonts w:hint="eastAsia" w:ascii="宋体"/>
                <w:bCs/>
                <w:sz w:val="24"/>
              </w:rPr>
              <w:t>规格</w:t>
            </w:r>
          </w:p>
          <w:p>
            <w:pPr>
              <w:spacing w:line="460" w:lineRule="atLeast"/>
              <w:jc w:val="center"/>
              <w:rPr>
                <w:color w:val="000000"/>
              </w:rPr>
            </w:pPr>
            <w:r>
              <w:rPr>
                <w:rFonts w:hint="eastAsia" w:ascii="宋体"/>
                <w:bCs/>
                <w:sz w:val="24"/>
              </w:rPr>
              <w:t>型号</w:t>
            </w:r>
          </w:p>
        </w:tc>
        <w:tc>
          <w:tcPr>
            <w:tcW w:w="1153" w:type="dxa"/>
            <w:vAlign w:val="center"/>
          </w:tcPr>
          <w:p>
            <w:pPr>
              <w:spacing w:line="460" w:lineRule="atLeast"/>
              <w:jc w:val="center"/>
              <w:rPr>
                <w:rFonts w:ascii="宋体"/>
                <w:bCs/>
                <w:sz w:val="24"/>
              </w:rPr>
            </w:pPr>
            <w:r>
              <w:rPr>
                <w:rFonts w:hint="eastAsia" w:ascii="宋体"/>
                <w:bCs/>
                <w:sz w:val="24"/>
              </w:rPr>
              <w:t>生产</w:t>
            </w:r>
          </w:p>
          <w:p>
            <w:pPr>
              <w:spacing w:line="460" w:lineRule="atLeast"/>
              <w:jc w:val="center"/>
              <w:rPr>
                <w:rFonts w:ascii="宋体" w:hAnsi="宋体" w:cs="宋体"/>
                <w:color w:val="000000"/>
                <w:sz w:val="24"/>
              </w:rPr>
            </w:pPr>
            <w:r>
              <w:rPr>
                <w:rFonts w:hint="eastAsia" w:ascii="宋体"/>
                <w:bCs/>
                <w:sz w:val="24"/>
              </w:rPr>
              <w:t>厂家</w:t>
            </w:r>
          </w:p>
        </w:tc>
        <w:tc>
          <w:tcPr>
            <w:tcW w:w="1153" w:type="dxa"/>
            <w:vAlign w:val="center"/>
          </w:tcPr>
          <w:p>
            <w:pPr>
              <w:spacing w:line="460" w:lineRule="atLeast"/>
              <w:jc w:val="center"/>
              <w:rPr>
                <w:rFonts w:ascii="宋体"/>
                <w:bCs/>
                <w:sz w:val="24"/>
              </w:rPr>
            </w:pPr>
            <w:r>
              <w:rPr>
                <w:rFonts w:hint="eastAsia" w:ascii="宋体"/>
                <w:bCs/>
                <w:sz w:val="24"/>
              </w:rPr>
              <w:t>数量</w:t>
            </w:r>
          </w:p>
        </w:tc>
        <w:tc>
          <w:tcPr>
            <w:tcW w:w="1153" w:type="dxa"/>
            <w:vAlign w:val="center"/>
          </w:tcPr>
          <w:p>
            <w:pPr>
              <w:spacing w:line="460" w:lineRule="atLeast"/>
              <w:jc w:val="center"/>
              <w:rPr>
                <w:rFonts w:ascii="宋体" w:hAnsi="宋体" w:cs="宋体"/>
                <w:color w:val="000000"/>
                <w:sz w:val="24"/>
              </w:rPr>
            </w:pPr>
            <w:r>
              <w:rPr>
                <w:rFonts w:hint="eastAsia" w:ascii="宋体"/>
                <w:bCs/>
                <w:sz w:val="24"/>
              </w:rPr>
              <w:t>单位</w:t>
            </w:r>
          </w:p>
        </w:tc>
        <w:tc>
          <w:tcPr>
            <w:tcW w:w="1153" w:type="dxa"/>
            <w:vAlign w:val="center"/>
          </w:tcPr>
          <w:p>
            <w:pPr>
              <w:spacing w:line="460" w:lineRule="atLeast"/>
              <w:jc w:val="center"/>
              <w:rPr>
                <w:rFonts w:ascii="宋体"/>
                <w:bCs/>
                <w:sz w:val="24"/>
              </w:rPr>
            </w:pPr>
            <w:r>
              <w:rPr>
                <w:rFonts w:hint="eastAsia" w:ascii="宋体"/>
                <w:bCs/>
                <w:sz w:val="24"/>
              </w:rPr>
              <w:t>单价</w:t>
            </w:r>
          </w:p>
          <w:p>
            <w:pPr>
              <w:spacing w:line="460" w:lineRule="atLeast"/>
              <w:jc w:val="center"/>
              <w:rPr>
                <w:rFonts w:ascii="宋体"/>
                <w:bCs/>
                <w:sz w:val="24"/>
              </w:rPr>
            </w:pPr>
            <w:r>
              <w:rPr>
                <w:rFonts w:hint="eastAsia" w:ascii="宋体"/>
                <w:bCs/>
                <w:sz w:val="24"/>
              </w:rPr>
              <w:t>（美元）</w:t>
            </w:r>
          </w:p>
        </w:tc>
        <w:tc>
          <w:tcPr>
            <w:tcW w:w="1153" w:type="dxa"/>
            <w:vAlign w:val="center"/>
          </w:tcPr>
          <w:p>
            <w:pPr>
              <w:spacing w:line="460" w:lineRule="atLeast"/>
              <w:jc w:val="center"/>
              <w:rPr>
                <w:rFonts w:ascii="宋体"/>
                <w:bCs/>
                <w:sz w:val="24"/>
              </w:rPr>
            </w:pPr>
            <w:r>
              <w:rPr>
                <w:rFonts w:hint="eastAsia" w:ascii="宋体"/>
                <w:bCs/>
                <w:sz w:val="24"/>
              </w:rPr>
              <w:t>总价</w:t>
            </w:r>
          </w:p>
          <w:p>
            <w:pPr>
              <w:spacing w:line="460" w:lineRule="atLeast"/>
              <w:jc w:val="center"/>
              <w:rPr>
                <w:rFonts w:ascii="宋体"/>
                <w:bCs/>
                <w:sz w:val="24"/>
              </w:rPr>
            </w:pPr>
            <w:r>
              <w:rPr>
                <w:rFonts w:hint="eastAsia" w:ascii="宋体"/>
                <w:bCs/>
                <w:sz w:val="24"/>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153" w:type="dxa"/>
            <w:vAlign w:val="center"/>
          </w:tcPr>
          <w:p>
            <w:pPr>
              <w:jc w:val="center"/>
              <w:rPr>
                <w:rFonts w:ascii="宋体" w:hAnsi="宋体" w:cs="宋体"/>
                <w:color w:val="000000"/>
                <w:sz w:val="24"/>
              </w:rPr>
            </w:pPr>
          </w:p>
        </w:tc>
        <w:tc>
          <w:tcPr>
            <w:tcW w:w="1153" w:type="dxa"/>
            <w:gridSpan w:val="2"/>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74" w:type="dxa"/>
            <w:gridSpan w:val="3"/>
            <w:vAlign w:val="center"/>
          </w:tcPr>
          <w:p>
            <w:pPr>
              <w:tabs>
                <w:tab w:val="left" w:pos="846"/>
              </w:tabs>
              <w:jc w:val="center"/>
              <w:rPr>
                <w:rFonts w:ascii="宋体" w:hAnsi="宋体"/>
                <w:bCs/>
                <w:sz w:val="24"/>
              </w:rPr>
            </w:pPr>
            <w:r>
              <w:rPr>
                <w:rFonts w:hint="eastAsia"/>
                <w:bCs/>
                <w:sz w:val="24"/>
              </w:rPr>
              <w:t>合计总金额</w:t>
            </w:r>
          </w:p>
        </w:tc>
        <w:tc>
          <w:tcPr>
            <w:tcW w:w="6149" w:type="dxa"/>
            <w:gridSpan w:val="6"/>
            <w:vAlign w:val="center"/>
          </w:tcPr>
          <w:p>
            <w:pPr>
              <w:jc w:val="center"/>
              <w:rPr>
                <w:bCs/>
                <w:sz w:val="24"/>
              </w:rPr>
            </w:pPr>
            <w:r>
              <w:rPr>
                <w:rFonts w:hint="eastAsia"/>
                <w:bCs/>
                <w:sz w:val="24"/>
              </w:rPr>
              <w:t>USD：       （大写：       美金）</w:t>
            </w:r>
          </w:p>
        </w:tc>
      </w:tr>
    </w:tbl>
    <w:p>
      <w:pPr>
        <w:spacing w:line="400" w:lineRule="exact"/>
        <w:rPr>
          <w:bCs/>
          <w:sz w:val="24"/>
        </w:rPr>
      </w:pPr>
      <w:r>
        <w:rPr>
          <w:rFonts w:hint="eastAsia"/>
          <w:bCs/>
          <w:sz w:val="24"/>
        </w:rPr>
        <w:t>2．交货时间：合同签订后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hint="eastAsia" w:ascii="宋体" w:hAnsi="宋体" w:cs="宋体"/>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hint="eastAsia" w:ascii="宋体" w:hAnsi="宋体"/>
          <w:sz w:val="24"/>
        </w:rPr>
        <w:t>一切因乙方不履行协议或逾期履行协议所致之损失均由乙方承担。</w:t>
      </w:r>
      <w:r>
        <w:rPr>
          <w:sz w:val="24"/>
        </w:rPr>
        <w:br w:type="textWrapping"/>
      </w:r>
      <w:r>
        <w:rPr>
          <w:rFonts w:hint="eastAsia"/>
          <w:bCs/>
          <w:sz w:val="24"/>
        </w:rPr>
        <w:t>3．运输方式及到港站：CIP厦门</w:t>
      </w:r>
    </w:p>
    <w:p>
      <w:pPr>
        <w:spacing w:line="400" w:lineRule="exact"/>
        <w:rPr>
          <w:bCs/>
          <w:sz w:val="24"/>
        </w:rPr>
      </w:pPr>
      <w:r>
        <w:rPr>
          <w:rFonts w:hint="eastAsia"/>
          <w:bCs/>
          <w:sz w:val="24"/>
        </w:rPr>
        <w:t>4．技术配置方案见附件。</w:t>
      </w:r>
    </w:p>
    <w:p>
      <w:pPr>
        <w:spacing w:line="400" w:lineRule="exact"/>
        <w:rPr>
          <w:bCs/>
          <w:sz w:val="24"/>
        </w:rPr>
      </w:pPr>
      <w:r>
        <w:rPr>
          <w:rFonts w:hint="eastAsia"/>
          <w:bCs/>
          <w:sz w:val="24"/>
        </w:rPr>
        <w:t>5．外贸合同签订：</w:t>
      </w:r>
    </w:p>
    <w:p>
      <w:pPr>
        <w:spacing w:line="400" w:lineRule="exact"/>
        <w:rPr>
          <w:bCs/>
          <w:sz w:val="24"/>
        </w:rPr>
      </w:pPr>
      <w:r>
        <w:rPr>
          <w:rFonts w:hint="eastAsia"/>
          <w:bCs/>
          <w:sz w:val="24"/>
        </w:rPr>
        <w:t xml:space="preserve">   甲方委托</w:t>
      </w:r>
      <w:r>
        <w:rPr>
          <w:rFonts w:hint="eastAsia"/>
          <w:bCs/>
          <w:sz w:val="24"/>
          <w:u w:val="single"/>
        </w:rPr>
        <w:t xml:space="preserve">             （</w:t>
      </w:r>
      <w:r>
        <w:rPr>
          <w:rFonts w:hint="eastAsia"/>
          <w:bCs/>
          <w:sz w:val="24"/>
        </w:rPr>
        <w:t>外贸代理公司由实验室从入围的进口外贸代理服务商选定）签订外贸合同，协助办理免税及办理进口报关、报检等手续。</w:t>
      </w:r>
    </w:p>
    <w:p>
      <w:pPr>
        <w:spacing w:line="400" w:lineRule="exact"/>
        <w:rPr>
          <w:bCs/>
          <w:sz w:val="24"/>
        </w:rPr>
      </w:pPr>
      <w:r>
        <w:rPr>
          <w:rFonts w:hint="eastAsia"/>
          <w:bCs/>
          <w:sz w:val="24"/>
        </w:rPr>
        <w:t xml:space="preserve">   乙方（委托）</w:t>
      </w:r>
      <w:r>
        <w:rPr>
          <w:rFonts w:hint="eastAsia"/>
          <w:bCs/>
          <w:sz w:val="24"/>
          <w:u w:val="single"/>
        </w:rPr>
        <w:t xml:space="preserve">           </w:t>
      </w:r>
      <w:r>
        <w:rPr>
          <w:rFonts w:hint="eastAsia"/>
          <w:bCs/>
          <w:sz w:val="24"/>
        </w:rPr>
        <w:t>签订外贸合同及办理出口事宜。</w:t>
      </w:r>
    </w:p>
    <w:p>
      <w:pPr>
        <w:spacing w:line="400" w:lineRule="exact"/>
        <w:rPr>
          <w:rFonts w:ascii="宋体"/>
          <w:bCs/>
          <w:sz w:val="24"/>
        </w:rPr>
      </w:pPr>
      <w:r>
        <w:rPr>
          <w:bCs/>
          <w:sz w:val="24"/>
        </w:rPr>
        <w:t>6．付款</w:t>
      </w:r>
      <w:r>
        <w:rPr>
          <w:rFonts w:hint="eastAsia" w:ascii="宋体"/>
          <w:bCs/>
          <w:sz w:val="24"/>
        </w:rPr>
        <w:t>方式：甲方通过受其委托的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w:t>
      </w:r>
      <w:r>
        <w:rPr>
          <w:rFonts w:hint="eastAsia" w:ascii="宋体"/>
          <w:bCs/>
          <w:sz w:val="24"/>
        </w:rPr>
        <w:t>外贸代理公司）付款，乙方授权受其委托的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（前述乙方委托其签订外贸合同的出口商，一般为制造商）收款，</w:t>
      </w:r>
      <w:r>
        <w:rPr>
          <w:rFonts w:hint="eastAsia" w:ascii="宋体"/>
          <w:bCs/>
          <w:sz w:val="24"/>
        </w:rPr>
        <w:t>付款方式为：开具100%信用证，80%见单即付，20%货到验收合格后凭最终用户（嘉庚创新实验室</w:t>
      </w:r>
      <w:r>
        <w:rPr>
          <w:rFonts w:hint="eastAsia"/>
          <w:bCs/>
          <w:sz w:val="28"/>
        </w:rPr>
        <w:sym w:font="Wingdings 2" w:char="F0CD"/>
      </w:r>
      <w:r>
        <w:rPr>
          <w:rFonts w:hint="eastAsia"/>
          <w:bCs/>
          <w:sz w:val="28"/>
        </w:rPr>
        <w:sym w:font="Wingdings 2" w:char="F0CD"/>
      </w:r>
      <w:r>
        <w:rPr>
          <w:rFonts w:hint="eastAsia" w:ascii="宋体"/>
          <w:bCs/>
          <w:sz w:val="24"/>
        </w:rPr>
        <w:t>项目）的验收合格报告单支付。</w:t>
      </w:r>
    </w:p>
    <w:p>
      <w:pPr>
        <w:spacing w:line="400" w:lineRule="exact"/>
        <w:jc w:val="left"/>
        <w:rPr>
          <w:rFonts w:ascii="宋体"/>
          <w:bCs/>
          <w:sz w:val="24"/>
        </w:rPr>
      </w:pPr>
      <w:r>
        <w:rPr>
          <w:bCs/>
          <w:sz w:val="24"/>
        </w:rPr>
        <w:t>7．</w:t>
      </w:r>
      <w:r>
        <w:rPr>
          <w:rFonts w:hint="eastAsia" w:ascii="宋体"/>
          <w:bCs/>
          <w:sz w:val="24"/>
        </w:rPr>
        <w:t>验收方式：</w:t>
      </w:r>
    </w:p>
    <w:p>
      <w:pPr>
        <w:spacing w:line="400" w:lineRule="exact"/>
        <w:rPr>
          <w:rFonts w:ascii="宋体"/>
          <w:bCs/>
          <w:sz w:val="24"/>
        </w:rPr>
      </w:pPr>
      <w:r>
        <w:rPr>
          <w:rFonts w:hint="eastAsia" w:ascii="宋体"/>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pPr>
        <w:spacing w:line="400" w:lineRule="exact"/>
        <w:ind w:left="360"/>
        <w:rPr>
          <w:rFonts w:ascii="宋体"/>
          <w:bCs/>
          <w:sz w:val="24"/>
        </w:rPr>
      </w:pPr>
      <w:r>
        <w:rPr>
          <w:rFonts w:hint="eastAsia" w:ascii="宋体"/>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pPr>
        <w:spacing w:line="400" w:lineRule="exact"/>
        <w:ind w:left="360"/>
        <w:rPr>
          <w:rFonts w:ascii="宋体"/>
          <w:bCs/>
          <w:sz w:val="24"/>
        </w:rPr>
      </w:pPr>
      <w:r>
        <w:rPr>
          <w:rFonts w:hint="eastAsia"/>
          <w:sz w:val="24"/>
        </w:rPr>
        <w:t>②</w:t>
      </w:r>
      <w:r>
        <w:rPr>
          <w:rFonts w:hint="eastAsia" w:ascii="宋体"/>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pPr>
        <w:spacing w:line="400" w:lineRule="exact"/>
        <w:jc w:val="left"/>
        <w:rPr>
          <w:rFonts w:ascii="宋体"/>
          <w:bCs/>
          <w:sz w:val="24"/>
        </w:rPr>
      </w:pPr>
      <w:r>
        <w:rPr>
          <w:rFonts w:hint="eastAsia" w:ascii="宋体"/>
          <w:bCs/>
          <w:sz w:val="24"/>
        </w:rPr>
        <w:t>8．售后服务：</w:t>
      </w:r>
    </w:p>
    <w:p>
      <w:pPr>
        <w:tabs>
          <w:tab w:val="left" w:pos="0"/>
        </w:tabs>
        <w:spacing w:line="400" w:lineRule="exact"/>
        <w:jc w:val="left"/>
        <w:rPr>
          <w:rFonts w:ascii="宋体"/>
          <w:bCs/>
          <w:sz w:val="24"/>
        </w:rPr>
      </w:pPr>
      <w:r>
        <w:rPr>
          <w:rFonts w:hint="eastAsia" w:ascii="宋体"/>
          <w:bCs/>
          <w:sz w:val="24"/>
        </w:rPr>
        <w:t>①保修期限：自装机验收完成并经甲方签字确认合格之日起计，乙方对甲方购买的仪器保修时间为</w:t>
      </w:r>
      <w:r>
        <w:rPr>
          <w:rFonts w:hint="eastAsia" w:ascii="宋体"/>
          <w:bCs/>
          <w:sz w:val="24"/>
          <w:u w:val="single"/>
        </w:rPr>
        <w:t xml:space="preserve">    </w:t>
      </w:r>
      <w:r>
        <w:rPr>
          <w:rFonts w:hint="eastAsia" w:ascii="宋体"/>
          <w:bCs/>
          <w:sz w:val="24"/>
        </w:rPr>
        <w:t>年，保修期间，因产品质量问题导致的一切费用均由乙方承担（人为损坏除外）。</w:t>
      </w:r>
    </w:p>
    <w:p>
      <w:pPr>
        <w:spacing w:line="400" w:lineRule="exact"/>
        <w:jc w:val="left"/>
        <w:rPr>
          <w:sz w:val="24"/>
        </w:rPr>
      </w:pPr>
      <w:r>
        <w:rPr>
          <w:rFonts w:hint="eastAsia"/>
          <w:sz w:val="24"/>
        </w:rPr>
        <w:t>②乙方需向甲方提供原厂维修服务（含保修期间的保修服务）。</w:t>
      </w:r>
    </w:p>
    <w:p>
      <w:pPr>
        <w:spacing w:line="400" w:lineRule="exact"/>
        <w:jc w:val="left"/>
        <w:rPr>
          <w:rFonts w:ascii="宋体"/>
          <w:bCs/>
          <w:sz w:val="24"/>
        </w:rPr>
      </w:pPr>
      <w:r>
        <w:rPr>
          <w:rFonts w:hint="eastAsia" w:ascii="宋体"/>
          <w:bCs/>
          <w:sz w:val="24"/>
        </w:rPr>
        <w:t>③乙方负责免费提供现场仪器操作培训。</w:t>
      </w:r>
    </w:p>
    <w:p>
      <w:pPr>
        <w:spacing w:line="400" w:lineRule="exact"/>
        <w:jc w:val="left"/>
        <w:rPr>
          <w:rFonts w:ascii="宋体"/>
          <w:bCs/>
          <w:sz w:val="24"/>
        </w:rPr>
      </w:pPr>
      <w:r>
        <w:rPr>
          <w:rFonts w:hint="eastAsia" w:ascii="宋体" w:hAnsi="宋体"/>
          <w:bCs/>
          <w:sz w:val="24"/>
        </w:rPr>
        <w:t>④</w:t>
      </w:r>
      <w:r>
        <w:rPr>
          <w:rFonts w:hint="eastAsia"/>
          <w:sz w:val="24"/>
        </w:rPr>
        <w:t>设备验收前提供一套完整的技术资料，包括：原厂说明书、用户手册、装箱单、出厂质量检验合格证及其他必要的资料</w:t>
      </w:r>
      <w:r>
        <w:rPr>
          <w:rFonts w:hint="eastAsia" w:ascii="宋体"/>
          <w:bCs/>
          <w:sz w:val="24"/>
        </w:rPr>
        <w:t>。</w:t>
      </w:r>
    </w:p>
    <w:p>
      <w:pPr>
        <w:spacing w:line="400" w:lineRule="exact"/>
        <w:jc w:val="left"/>
        <w:rPr>
          <w:rFonts w:ascii="宋体"/>
          <w:bCs/>
          <w:sz w:val="24"/>
        </w:rPr>
      </w:pPr>
      <w:r>
        <w:rPr>
          <w:rFonts w:hint="eastAsia" w:ascii="宋体"/>
          <w:bCs/>
          <w:sz w:val="24"/>
        </w:rPr>
        <w:t>9.其它约定事项：双方协商。</w:t>
      </w:r>
    </w:p>
    <w:p>
      <w:pPr>
        <w:spacing w:line="400" w:lineRule="exact"/>
        <w:jc w:val="left"/>
        <w:rPr>
          <w:rFonts w:ascii="宋体"/>
          <w:bCs/>
          <w:sz w:val="24"/>
        </w:rPr>
      </w:pPr>
      <w:r>
        <w:rPr>
          <w:rFonts w:hint="eastAsia" w:ascii="宋体"/>
          <w:bCs/>
          <w:sz w:val="24"/>
        </w:rPr>
        <w:t>10.争议解决：凡因本合同引起的或与本合同有关的争议，应协商解决；协商不成，各方均有权将争议提交甲方所在地人民法院</w:t>
      </w:r>
      <w:r>
        <w:rPr>
          <w:rFonts w:hint="eastAsia" w:ascii="宋体"/>
          <w:bCs/>
          <w:sz w:val="24"/>
          <w:u w:val="single"/>
        </w:rPr>
        <w:t>适用中华人民共和国法律诉讼</w:t>
      </w:r>
      <w:r>
        <w:rPr>
          <w:rFonts w:hint="eastAsia" w:ascii="宋体"/>
          <w:bCs/>
          <w:sz w:val="24"/>
        </w:rPr>
        <w:t>解决。守约方因维护自身合法权益而支出的包括但不限于诉讼费、仲裁费、律师费等在内的一切费用，均由违约方承担。</w:t>
      </w:r>
    </w:p>
    <w:p>
      <w:pPr>
        <w:spacing w:line="400" w:lineRule="exact"/>
        <w:jc w:val="left"/>
        <w:rPr>
          <w:rFonts w:ascii="宋体"/>
          <w:bCs/>
          <w:sz w:val="24"/>
        </w:rPr>
      </w:pPr>
      <w:r>
        <w:rPr>
          <w:rFonts w:ascii="宋体"/>
          <w:bCs/>
          <w:sz w:val="24"/>
        </w:rPr>
        <w:t>11</w:t>
      </w:r>
      <w:r>
        <w:rPr>
          <w:rFonts w:hint="eastAsia" w:ascii="宋体"/>
          <w:bCs/>
          <w:sz w:val="24"/>
        </w:rPr>
        <w:t>.本协议壹式肆份，由甲方、甲方用户单位、乙方、嘉庚创新实验室资产采购管理室各执壹份，具有同等法律效力。</w:t>
      </w:r>
    </w:p>
    <w:p>
      <w:pPr>
        <w:spacing w:line="400" w:lineRule="exact"/>
        <w:jc w:val="left"/>
        <w:rPr>
          <w:rFonts w:ascii="宋体"/>
          <w:bCs/>
          <w:sz w:val="24"/>
        </w:rPr>
      </w:pPr>
    </w:p>
    <w:p>
      <w:pPr>
        <w:spacing w:line="400" w:lineRule="exact"/>
        <w:rPr>
          <w:bCs/>
          <w:sz w:val="24"/>
        </w:rPr>
      </w:pPr>
      <w:r>
        <w:rPr>
          <w:rFonts w:hint="eastAsia" w:ascii="宋体"/>
          <w:bCs/>
          <w:sz w:val="24"/>
        </w:rPr>
        <w:t>甲方：嘉庚创新实验室</w:t>
      </w:r>
      <w:r>
        <w:rPr>
          <w:rFonts w:hint="eastAsia"/>
          <w:bCs/>
          <w:sz w:val="24"/>
        </w:rPr>
        <w:t xml:space="preserve">              </w:t>
      </w:r>
      <w:r>
        <w:rPr>
          <w:rFonts w:hint="eastAsia" w:ascii="宋体"/>
          <w:bCs/>
          <w:sz w:val="24"/>
        </w:rPr>
        <w:t>乙方：</w:t>
      </w:r>
    </w:p>
    <w:p>
      <w:pPr>
        <w:spacing w:line="400" w:lineRule="exact"/>
        <w:ind w:left="627" w:leftChars="13" w:hanging="600" w:hangingChars="250"/>
        <w:rPr>
          <w:rFonts w:ascii="宋体"/>
          <w:bCs/>
          <w:sz w:val="24"/>
        </w:rPr>
      </w:pPr>
      <w:r>
        <w:rPr>
          <w:rFonts w:hint="eastAsia" w:ascii="宋体"/>
          <w:bCs/>
          <w:sz w:val="24"/>
        </w:rPr>
        <w:t>地址：                            地址：</w:t>
      </w:r>
    </w:p>
    <w:p>
      <w:pPr>
        <w:spacing w:line="400" w:lineRule="exact"/>
        <w:rPr>
          <w:rFonts w:ascii="宋体"/>
          <w:bCs/>
          <w:sz w:val="24"/>
        </w:rPr>
      </w:pPr>
      <w:r>
        <w:rPr>
          <w:rFonts w:hint="eastAsia" w:ascii="宋体"/>
          <w:bCs/>
          <w:sz w:val="24"/>
        </w:rPr>
        <w:t>用户代表人：                      法定代表人：</w:t>
      </w:r>
    </w:p>
    <w:p>
      <w:pPr>
        <w:spacing w:line="400" w:lineRule="exact"/>
        <w:rPr>
          <w:rFonts w:ascii="宋体"/>
          <w:bCs/>
          <w:sz w:val="24"/>
        </w:rPr>
      </w:pPr>
      <w:r>
        <w:rPr>
          <w:rFonts w:hint="eastAsia" w:ascii="宋体"/>
          <w:bCs/>
          <w:sz w:val="24"/>
        </w:rPr>
        <w:t>电话：                            委托代表人：</w:t>
      </w:r>
    </w:p>
    <w:p>
      <w:pPr>
        <w:spacing w:line="400" w:lineRule="exact"/>
        <w:rPr>
          <w:rFonts w:ascii="宋体"/>
          <w:bCs/>
          <w:sz w:val="24"/>
        </w:rPr>
      </w:pPr>
      <w:r>
        <w:rPr>
          <w:rFonts w:hint="eastAsia" w:ascii="宋体"/>
          <w:bCs/>
          <w:sz w:val="24"/>
        </w:rPr>
        <w:t>移动电话：                        电话：</w:t>
      </w:r>
    </w:p>
    <w:p>
      <w:pPr>
        <w:spacing w:line="400" w:lineRule="exact"/>
        <w:rPr>
          <w:rFonts w:ascii="宋体"/>
          <w:bCs/>
          <w:sz w:val="24"/>
        </w:rPr>
      </w:pPr>
      <w:r>
        <w:rPr>
          <w:rFonts w:hint="eastAsia" w:ascii="宋体"/>
          <w:bCs/>
          <w:sz w:val="24"/>
        </w:rPr>
        <w:t>日期：                            传真：</w:t>
      </w:r>
    </w:p>
    <w:p>
      <w:pPr>
        <w:spacing w:line="400" w:lineRule="exact"/>
        <w:ind w:left="-78"/>
        <w:rPr>
          <w:rFonts w:ascii="宋体"/>
          <w:bCs/>
          <w:sz w:val="24"/>
        </w:rPr>
      </w:pPr>
      <w:r>
        <w:rPr>
          <w:rFonts w:hint="eastAsia" w:ascii="宋体"/>
          <w:bCs/>
          <w:sz w:val="24"/>
        </w:rPr>
        <w:t xml:space="preserve">                                   日期：</w:t>
      </w:r>
    </w:p>
    <w:p>
      <w:pPr>
        <w:spacing w:line="400" w:lineRule="exact"/>
        <w:ind w:left="-78"/>
        <w:rPr>
          <w:rFonts w:ascii="宋体"/>
          <w:bCs/>
          <w:sz w:val="24"/>
        </w:rPr>
      </w:pPr>
      <w:r>
        <w:rPr>
          <w:rFonts w:hint="eastAsia" w:ascii="宋体"/>
          <w:bCs/>
          <w:sz w:val="24"/>
        </w:rPr>
        <w:t>用户代表人所在单位签章：</w:t>
      </w:r>
    </w:p>
    <w:p>
      <w:pPr>
        <w:spacing w:line="360" w:lineRule="auto"/>
        <w:ind w:firstLine="4080" w:firstLineChars="1700"/>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rPr>
          <w:b/>
          <w:bCs/>
          <w:color w:val="000000"/>
          <w:sz w:val="28"/>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pPr>
        <w:widowControl/>
        <w:jc w:val="left"/>
        <w:rPr>
          <w:rFonts w:ascii="宋体" w:hAnsi="宋体" w:cs="宋体"/>
          <w:sz w:val="24"/>
        </w:rPr>
      </w:pPr>
    </w:p>
    <w:p>
      <w:pPr>
        <w:spacing w:line="360" w:lineRule="auto"/>
        <w:jc w:val="left"/>
        <w:rPr>
          <w:rFonts w:ascii="宋体" w:hAnsi="宋体"/>
          <w:b/>
          <w:sz w:val="24"/>
        </w:rPr>
      </w:pPr>
      <w:r>
        <w:rPr>
          <w:rFonts w:hint="eastAsia" w:ascii="宋体" w:hAnsi="宋体" w:cs="宋体"/>
          <w:sz w:val="24"/>
        </w:rPr>
        <w:t xml:space="preserve">附件一： </w:t>
      </w:r>
      <w:r>
        <w:rPr>
          <w:rFonts w:hint="eastAsia" w:ascii="宋体" w:hAnsi="宋体"/>
          <w:b/>
          <w:sz w:val="24"/>
        </w:rPr>
        <w:t>矢量网络分析仪技术参数：</w:t>
      </w:r>
    </w:p>
    <w:p>
      <w:pPr>
        <w:rPr>
          <w:b/>
          <w:sz w:val="22"/>
          <w:szCs w:val="22"/>
        </w:rPr>
      </w:pPr>
      <w:r>
        <w:rPr>
          <w:b/>
          <w:sz w:val="22"/>
          <w:szCs w:val="22"/>
        </w:rPr>
        <w:t>标注“</w:t>
      </w:r>
      <w:r>
        <w:rPr>
          <w:rFonts w:ascii="Segoe UI Symbol" w:hAnsi="Segoe UI Symbol" w:cs="Segoe UI Symbol"/>
          <w:color w:val="FF0000"/>
          <w:kern w:val="0"/>
          <w:sz w:val="22"/>
          <w:szCs w:val="22"/>
        </w:rPr>
        <w:t>★</w:t>
      </w:r>
      <w:r>
        <w:rPr>
          <w:b/>
          <w:sz w:val="22"/>
          <w:szCs w:val="22"/>
        </w:rPr>
        <w:t>”号的为</w:t>
      </w:r>
      <w:r>
        <w:rPr>
          <w:rFonts w:hint="eastAsia"/>
          <w:b/>
          <w:sz w:val="22"/>
          <w:szCs w:val="22"/>
          <w:lang w:val="en-US" w:eastAsia="zh-CN"/>
        </w:rPr>
        <w:t>星号</w:t>
      </w:r>
      <w:r>
        <w:rPr>
          <w:b/>
          <w:sz w:val="22"/>
          <w:szCs w:val="22"/>
        </w:rPr>
        <w:t>技术指标，对</w:t>
      </w:r>
      <w:r>
        <w:rPr>
          <w:rFonts w:hint="eastAsia"/>
          <w:b/>
          <w:sz w:val="22"/>
          <w:szCs w:val="22"/>
          <w:lang w:val="en-US" w:eastAsia="zh-CN"/>
        </w:rPr>
        <w:t>星号</w:t>
      </w:r>
      <w:r>
        <w:rPr>
          <w:b/>
          <w:sz w:val="22"/>
          <w:szCs w:val="22"/>
        </w:rPr>
        <w:t>技术指标指标的偏离将</w:t>
      </w:r>
      <w:r>
        <w:rPr>
          <w:rFonts w:hint="eastAsia"/>
          <w:b/>
          <w:sz w:val="22"/>
          <w:szCs w:val="22"/>
          <w:lang w:val="en-US" w:eastAsia="zh-CN"/>
        </w:rPr>
        <w:t>无权参与磋商谈判</w:t>
      </w:r>
      <w:r>
        <w:rPr>
          <w:b/>
          <w:sz w:val="22"/>
          <w:szCs w:val="22"/>
        </w:rPr>
        <w:t>。</w:t>
      </w:r>
    </w:p>
    <w:p>
      <w:pPr>
        <w:rPr>
          <w:b/>
          <w:sz w:val="22"/>
          <w:szCs w:val="22"/>
        </w:rPr>
      </w:pPr>
      <w:r>
        <w:rPr>
          <w:b/>
          <w:sz w:val="22"/>
          <w:szCs w:val="22"/>
        </w:rPr>
        <w:t>标注“</w:t>
      </w:r>
      <w:r>
        <w:rPr>
          <w:color w:val="FF0000"/>
          <w:kern w:val="0"/>
          <w:sz w:val="22"/>
          <w:szCs w:val="22"/>
        </w:rPr>
        <w:t>▲</w:t>
      </w:r>
      <w:r>
        <w:rPr>
          <w:b/>
          <w:sz w:val="22"/>
          <w:szCs w:val="22"/>
        </w:rPr>
        <w:t>”号的为重要技术指标，</w:t>
      </w:r>
      <w:bookmarkStart w:id="14" w:name="_GoBack"/>
      <w:bookmarkEnd w:id="14"/>
      <w:r>
        <w:rPr>
          <w:b/>
          <w:sz w:val="22"/>
          <w:szCs w:val="22"/>
        </w:rPr>
        <w:t>重要技术指标</w:t>
      </w:r>
      <w:r>
        <w:rPr>
          <w:rFonts w:hint="eastAsia"/>
          <w:b/>
          <w:sz w:val="22"/>
          <w:szCs w:val="22"/>
          <w:lang w:val="en-US" w:eastAsia="zh-CN"/>
        </w:rPr>
        <w:t>为评标重要参数</w:t>
      </w:r>
      <w:r>
        <w:rPr>
          <w:b/>
          <w:sz w:val="22"/>
          <w:szCs w:val="22"/>
        </w:rPr>
        <w:t>。</w:t>
      </w:r>
    </w:p>
    <w:p>
      <w:pPr>
        <w:rPr>
          <w:b/>
          <w:sz w:val="22"/>
          <w:szCs w:val="22"/>
        </w:rPr>
      </w:pPr>
    </w:p>
    <w:p>
      <w:pPr>
        <w:numPr>
          <w:ilvl w:val="0"/>
          <w:numId w:val="11"/>
        </w:numPr>
        <w:rPr>
          <w:sz w:val="22"/>
          <w:szCs w:val="22"/>
        </w:rPr>
      </w:pPr>
      <w:r>
        <w:rPr>
          <w:rFonts w:ascii="Segoe UI Symbol" w:hAnsi="Segoe UI Symbol" w:cs="Segoe UI Symbol"/>
          <w:color w:val="FF0000"/>
          <w:sz w:val="22"/>
          <w:szCs w:val="22"/>
        </w:rPr>
        <w:t>★</w:t>
      </w:r>
      <w:r>
        <w:rPr>
          <w:sz w:val="22"/>
          <w:szCs w:val="22"/>
        </w:rPr>
        <w:t>频率范围：9KHz to 20GHz</w:t>
      </w:r>
    </w:p>
    <w:p>
      <w:pPr>
        <w:numPr>
          <w:ilvl w:val="0"/>
          <w:numId w:val="11"/>
        </w:numPr>
        <w:rPr>
          <w:sz w:val="22"/>
          <w:szCs w:val="22"/>
        </w:rPr>
      </w:pPr>
      <w:r>
        <w:rPr>
          <w:rFonts w:ascii="Segoe UI Symbol" w:hAnsi="Segoe UI Symbol" w:cs="Segoe UI Symbol"/>
          <w:color w:val="FF0000"/>
          <w:kern w:val="0"/>
          <w:sz w:val="22"/>
          <w:szCs w:val="22"/>
        </w:rPr>
        <w:t>★</w:t>
      </w:r>
      <w:r>
        <w:rPr>
          <w:color w:val="000000"/>
          <w:sz w:val="22"/>
          <w:szCs w:val="22"/>
        </w:rPr>
        <w:t>端口数</w:t>
      </w:r>
      <w:r>
        <w:rPr>
          <w:sz w:val="22"/>
          <w:szCs w:val="22"/>
        </w:rPr>
        <w:t>：</w:t>
      </w:r>
      <w:r>
        <w:rPr>
          <w:color w:val="000000"/>
          <w:kern w:val="0"/>
          <w:sz w:val="22"/>
          <w:szCs w:val="22"/>
        </w:rPr>
        <w:t>≥</w:t>
      </w:r>
      <w:r>
        <w:rPr>
          <w:sz w:val="22"/>
          <w:szCs w:val="22"/>
        </w:rPr>
        <w:t>4</w:t>
      </w:r>
    </w:p>
    <w:p>
      <w:pPr>
        <w:numPr>
          <w:ilvl w:val="0"/>
          <w:numId w:val="11"/>
        </w:numPr>
        <w:rPr>
          <w:sz w:val="22"/>
          <w:szCs w:val="22"/>
        </w:rPr>
      </w:pPr>
      <w:r>
        <w:rPr>
          <w:color w:val="FF0000"/>
          <w:kern w:val="0"/>
          <w:sz w:val="22"/>
          <w:szCs w:val="22"/>
        </w:rPr>
        <w:t xml:space="preserve">  </w:t>
      </w:r>
      <w:r>
        <w:rPr>
          <w:sz w:val="22"/>
          <w:szCs w:val="22"/>
        </w:rPr>
        <w:t>频率分辨率：1HZ</w:t>
      </w:r>
    </w:p>
    <w:p>
      <w:pPr>
        <w:numPr>
          <w:ilvl w:val="0"/>
          <w:numId w:val="11"/>
        </w:numPr>
        <w:rPr>
          <w:sz w:val="22"/>
          <w:szCs w:val="22"/>
        </w:rPr>
      </w:pPr>
      <w:r>
        <w:rPr>
          <w:sz w:val="22"/>
          <w:szCs w:val="22"/>
        </w:rPr>
        <w:t xml:space="preserve">  频率精度：</w:t>
      </w:r>
      <w:r>
        <w:rPr>
          <w:color w:val="000000"/>
          <w:kern w:val="0"/>
          <w:sz w:val="22"/>
          <w:szCs w:val="22"/>
        </w:rPr>
        <w:t>≥</w:t>
      </w:r>
      <w:r>
        <w:rPr>
          <w:sz w:val="22"/>
          <w:szCs w:val="22"/>
        </w:rPr>
        <w:t>± 7 ppm</w:t>
      </w:r>
    </w:p>
    <w:p>
      <w:pPr>
        <w:numPr>
          <w:ilvl w:val="0"/>
          <w:numId w:val="11"/>
        </w:numPr>
        <w:rPr>
          <w:sz w:val="22"/>
          <w:szCs w:val="22"/>
        </w:rPr>
      </w:pPr>
      <w:r>
        <w:rPr>
          <w:sz w:val="22"/>
          <w:szCs w:val="22"/>
        </w:rPr>
        <w:t xml:space="preserve">  频率稳定性：</w:t>
      </w:r>
      <w:r>
        <w:rPr>
          <w:color w:val="000000"/>
          <w:kern w:val="0"/>
          <w:sz w:val="22"/>
          <w:szCs w:val="22"/>
        </w:rPr>
        <w:t>≥</w:t>
      </w:r>
      <w:r>
        <w:rPr>
          <w:sz w:val="22"/>
          <w:szCs w:val="22"/>
        </w:rPr>
        <w:t>± 7 ppm（典型值）</w:t>
      </w:r>
    </w:p>
    <w:p>
      <w:pPr>
        <w:numPr>
          <w:ilvl w:val="0"/>
          <w:numId w:val="11"/>
        </w:numPr>
        <w:rPr>
          <w:sz w:val="22"/>
          <w:szCs w:val="22"/>
        </w:rPr>
      </w:pPr>
      <w:r>
        <w:rPr>
          <w:rFonts w:ascii="Segoe UI Symbol" w:hAnsi="Segoe UI Symbol" w:cs="Segoe UI Symbol"/>
          <w:color w:val="FF0000"/>
          <w:kern w:val="0"/>
          <w:sz w:val="22"/>
          <w:szCs w:val="22"/>
        </w:rPr>
        <w:t>★</w:t>
      </w:r>
      <w:r>
        <w:rPr>
          <w:sz w:val="22"/>
          <w:szCs w:val="22"/>
        </w:rPr>
        <w:t>最大的输出端口功率：</w:t>
      </w:r>
      <w:r>
        <w:rPr>
          <w:b/>
          <w:bCs/>
          <w:sz w:val="20"/>
          <w:szCs w:val="20"/>
        </w:rPr>
        <w:t xml:space="preserve">(dBm) </w:t>
      </w:r>
      <w:r>
        <w:rPr>
          <w:color w:val="000000"/>
          <w:kern w:val="0"/>
          <w:sz w:val="22"/>
          <w:szCs w:val="22"/>
        </w:rPr>
        <w:t>≥</w:t>
      </w:r>
      <w:r>
        <w:rPr>
          <w:sz w:val="20"/>
          <w:szCs w:val="20"/>
        </w:rPr>
        <w:t>+2（9 kHz to 100 kHz，典型值）</w:t>
      </w:r>
    </w:p>
    <w:p>
      <w:pPr>
        <w:numPr>
          <w:ilvl w:val="0"/>
          <w:numId w:val="11"/>
        </w:numPr>
        <w:rPr>
          <w:sz w:val="22"/>
          <w:szCs w:val="22"/>
        </w:rPr>
      </w:pPr>
      <w:r>
        <w:rPr>
          <w:color w:val="FF0000"/>
          <w:kern w:val="0"/>
          <w:sz w:val="22"/>
          <w:szCs w:val="22"/>
        </w:rPr>
        <w:t>▲</w:t>
      </w:r>
      <w:r>
        <w:rPr>
          <w:sz w:val="22"/>
          <w:szCs w:val="22"/>
        </w:rPr>
        <w:t>功率扫描范围：</w:t>
      </w:r>
      <w:r>
        <w:rPr>
          <w:b/>
          <w:bCs/>
          <w:sz w:val="20"/>
          <w:szCs w:val="20"/>
        </w:rPr>
        <w:t>(dBm)</w:t>
      </w:r>
    </w:p>
    <w:tbl>
      <w:tblPr>
        <w:tblStyle w:val="11"/>
        <w:tblW w:w="6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80"/>
        <w:gridCol w:w="3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3080" w:type="dxa"/>
          </w:tcPr>
          <w:p>
            <w:pPr>
              <w:pStyle w:val="27"/>
              <w:rPr>
                <w:rFonts w:ascii="Times New Roman" w:hAnsi="Times New Roman" w:cs="Times New Roman"/>
                <w:sz w:val="20"/>
                <w:szCs w:val="20"/>
              </w:rPr>
            </w:pPr>
            <w:r>
              <w:rPr>
                <w:rFonts w:ascii="Times New Roman" w:hAnsi="Times New Roman" w:cs="Times New Roman"/>
                <w:b/>
                <w:bCs/>
                <w:sz w:val="20"/>
                <w:szCs w:val="20"/>
              </w:rPr>
              <w:t>频率范围</w:t>
            </w:r>
          </w:p>
        </w:tc>
        <w:tc>
          <w:tcPr>
            <w:tcW w:w="3080" w:type="dxa"/>
          </w:tcPr>
          <w:p>
            <w:pPr>
              <w:pStyle w:val="27"/>
              <w:rPr>
                <w:rFonts w:ascii="Times New Roman" w:hAnsi="Times New Roman" w:cs="Times New Roman"/>
                <w:sz w:val="20"/>
                <w:szCs w:val="20"/>
              </w:rPr>
            </w:pPr>
            <w:r>
              <w:rPr>
                <w:rFonts w:ascii="Times New Roman" w:hAnsi="Times New Roman" w:cs="Times New Roman"/>
                <w:b/>
                <w:bCs/>
                <w:sz w:val="20"/>
                <w:szCs w:val="20"/>
              </w:rPr>
              <w:t>典型值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3080" w:type="dxa"/>
          </w:tcPr>
          <w:p>
            <w:pPr>
              <w:pStyle w:val="27"/>
              <w:rPr>
                <w:rFonts w:ascii="Times New Roman" w:hAnsi="Times New Roman" w:cs="Times New Roman"/>
                <w:sz w:val="20"/>
                <w:szCs w:val="20"/>
              </w:rPr>
            </w:pPr>
            <w:r>
              <w:rPr>
                <w:rFonts w:ascii="Times New Roman" w:hAnsi="Times New Roman" w:cs="Times New Roman"/>
                <w:sz w:val="20"/>
                <w:szCs w:val="20"/>
              </w:rPr>
              <w:t xml:space="preserve">9 kHz to 20GHz </w:t>
            </w:r>
          </w:p>
        </w:tc>
        <w:tc>
          <w:tcPr>
            <w:tcW w:w="3080" w:type="dxa"/>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 xml:space="preserve">-60 </w:t>
            </w:r>
          </w:p>
        </w:tc>
      </w:tr>
    </w:tbl>
    <w:p>
      <w:pPr>
        <w:ind w:left="420"/>
        <w:rPr>
          <w:sz w:val="22"/>
          <w:szCs w:val="22"/>
        </w:rPr>
      </w:pPr>
    </w:p>
    <w:p>
      <w:pPr>
        <w:numPr>
          <w:ilvl w:val="0"/>
          <w:numId w:val="11"/>
        </w:numPr>
        <w:rPr>
          <w:sz w:val="22"/>
          <w:szCs w:val="22"/>
        </w:rPr>
      </w:pPr>
      <w:r>
        <w:rPr>
          <w:rFonts w:ascii="Segoe UI Symbol" w:hAnsi="Segoe UI Symbol" w:cs="Segoe UI Symbol"/>
          <w:color w:val="FF0000"/>
          <w:kern w:val="0"/>
          <w:sz w:val="22"/>
          <w:szCs w:val="22"/>
        </w:rPr>
        <w:t>★</w:t>
      </w:r>
      <w:r>
        <w:rPr>
          <w:color w:val="000000"/>
          <w:sz w:val="22"/>
          <w:szCs w:val="22"/>
        </w:rPr>
        <w:t>在输出端口的系统</w:t>
      </w:r>
      <w:r>
        <w:rPr>
          <w:sz w:val="22"/>
          <w:szCs w:val="22"/>
        </w:rPr>
        <w:t>动态范围</w:t>
      </w:r>
    </w:p>
    <w:tbl>
      <w:tblPr>
        <w:tblStyle w:val="11"/>
        <w:tblW w:w="62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23"/>
        <w:gridCol w:w="3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3123" w:type="dxa"/>
          </w:tcPr>
          <w:p>
            <w:pPr>
              <w:pStyle w:val="27"/>
              <w:rPr>
                <w:rFonts w:ascii="Times New Roman" w:hAnsi="Times New Roman" w:cs="Times New Roman"/>
                <w:sz w:val="20"/>
                <w:szCs w:val="20"/>
              </w:rPr>
            </w:pPr>
            <w:r>
              <w:rPr>
                <w:rFonts w:ascii="Times New Roman" w:hAnsi="Times New Roman" w:cs="Times New Roman"/>
                <w:b/>
                <w:bCs/>
                <w:sz w:val="20"/>
                <w:szCs w:val="20"/>
              </w:rPr>
              <w:t>频率范围</w:t>
            </w:r>
          </w:p>
        </w:tc>
        <w:tc>
          <w:tcPr>
            <w:tcW w:w="3123" w:type="dxa"/>
          </w:tcPr>
          <w:p>
            <w:pPr>
              <w:pStyle w:val="27"/>
              <w:rPr>
                <w:rFonts w:ascii="Times New Roman" w:hAnsi="Times New Roman" w:cs="Times New Roman"/>
                <w:sz w:val="20"/>
                <w:szCs w:val="20"/>
              </w:rPr>
            </w:pPr>
            <w:r>
              <w:rPr>
                <w:rFonts w:ascii="Times New Roman" w:hAnsi="Times New Roman" w:cs="Times New Roman"/>
                <w:b/>
                <w:bCs/>
                <w:sz w:val="20"/>
                <w:szCs w:val="20"/>
              </w:rPr>
              <w:t xml:space="preserve">典型值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3123" w:type="dxa"/>
          </w:tcPr>
          <w:p>
            <w:pPr>
              <w:pStyle w:val="27"/>
              <w:rPr>
                <w:rFonts w:ascii="Times New Roman" w:hAnsi="Times New Roman" w:cs="Times New Roman"/>
                <w:sz w:val="20"/>
                <w:szCs w:val="20"/>
              </w:rPr>
            </w:pPr>
            <w:r>
              <w:rPr>
                <w:rFonts w:ascii="Times New Roman" w:hAnsi="Times New Roman" w:cs="Times New Roman"/>
                <w:sz w:val="20"/>
                <w:szCs w:val="20"/>
              </w:rPr>
              <w:t xml:space="preserve">9 kHz to 100 kHz </w:t>
            </w:r>
          </w:p>
        </w:tc>
        <w:tc>
          <w:tcPr>
            <w:tcW w:w="3123" w:type="dxa"/>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3123" w:type="dxa"/>
          </w:tcPr>
          <w:p>
            <w:pPr>
              <w:pStyle w:val="27"/>
              <w:rPr>
                <w:rFonts w:ascii="Times New Roman" w:hAnsi="Times New Roman" w:cs="Times New Roman"/>
                <w:sz w:val="20"/>
                <w:szCs w:val="20"/>
              </w:rPr>
            </w:pPr>
            <w:r>
              <w:rPr>
                <w:rFonts w:ascii="Times New Roman" w:hAnsi="Times New Roman" w:cs="Times New Roman"/>
                <w:sz w:val="20"/>
                <w:szCs w:val="20"/>
              </w:rPr>
              <w:t xml:space="preserve">100 kHz to 10MHz </w:t>
            </w:r>
          </w:p>
        </w:tc>
        <w:tc>
          <w:tcPr>
            <w:tcW w:w="3123" w:type="dxa"/>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 xml:space="preserve">126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3123" w:type="dxa"/>
          </w:tcPr>
          <w:p>
            <w:pPr>
              <w:pStyle w:val="27"/>
              <w:rPr>
                <w:rFonts w:ascii="Times New Roman" w:hAnsi="Times New Roman" w:cs="Times New Roman"/>
                <w:sz w:val="20"/>
                <w:szCs w:val="20"/>
              </w:rPr>
            </w:pPr>
            <w:r>
              <w:rPr>
                <w:rFonts w:ascii="Times New Roman" w:hAnsi="Times New Roman" w:cs="Times New Roman"/>
                <w:sz w:val="20"/>
                <w:szCs w:val="20"/>
              </w:rPr>
              <w:t>10 MHz to 6.5GHz</w:t>
            </w:r>
          </w:p>
        </w:tc>
        <w:tc>
          <w:tcPr>
            <w:tcW w:w="3123" w:type="dxa"/>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 xml:space="preserve">147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3123" w:type="dxa"/>
            <w:tcBorders>
              <w:left w:val="nil"/>
            </w:tcBorders>
          </w:tcPr>
          <w:p>
            <w:pPr>
              <w:pStyle w:val="27"/>
              <w:rPr>
                <w:rFonts w:ascii="Times New Roman" w:hAnsi="Times New Roman" w:cs="Times New Roman"/>
                <w:sz w:val="20"/>
                <w:szCs w:val="20"/>
              </w:rPr>
            </w:pPr>
            <w:r>
              <w:rPr>
                <w:rFonts w:ascii="Times New Roman" w:hAnsi="Times New Roman" w:cs="Times New Roman"/>
                <w:sz w:val="20"/>
                <w:szCs w:val="20"/>
              </w:rPr>
              <w:t xml:space="preserve">6.5 GHz to 20GHz </w:t>
            </w:r>
          </w:p>
        </w:tc>
        <w:tc>
          <w:tcPr>
            <w:tcW w:w="3123" w:type="dxa"/>
            <w:tcBorders>
              <w:right w:val="nil"/>
            </w:tcBorders>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 xml:space="preserve">137 </w:t>
            </w:r>
          </w:p>
        </w:tc>
      </w:tr>
    </w:tbl>
    <w:p>
      <w:pPr>
        <w:ind w:left="420"/>
        <w:rPr>
          <w:sz w:val="22"/>
          <w:szCs w:val="22"/>
        </w:rPr>
      </w:pPr>
    </w:p>
    <w:p>
      <w:pPr>
        <w:numPr>
          <w:ilvl w:val="0"/>
          <w:numId w:val="11"/>
        </w:numPr>
        <w:rPr>
          <w:sz w:val="22"/>
          <w:szCs w:val="22"/>
        </w:rPr>
      </w:pPr>
      <w:r>
        <w:rPr>
          <w:color w:val="FF0000"/>
          <w:kern w:val="0"/>
          <w:sz w:val="22"/>
          <w:szCs w:val="22"/>
        </w:rPr>
        <w:t>▲</w:t>
      </w:r>
      <w:r>
        <w:rPr>
          <w:sz w:val="22"/>
          <w:szCs w:val="22"/>
        </w:rPr>
        <w:t>功率电平精度</w:t>
      </w:r>
      <w:r>
        <w:rPr>
          <w:b/>
          <w:bCs/>
          <w:sz w:val="20"/>
          <w:szCs w:val="20"/>
        </w:rPr>
        <w:t>(dB，典型值)</w:t>
      </w:r>
      <w:r>
        <w:rPr>
          <w:sz w:val="22"/>
          <w:szCs w:val="22"/>
        </w:rPr>
        <w:t>：</w:t>
      </w:r>
    </w:p>
    <w:p>
      <w:pPr>
        <w:ind w:left="420"/>
        <w:rPr>
          <w:sz w:val="22"/>
          <w:szCs w:val="22"/>
        </w:rPr>
      </w:pPr>
      <w:r>
        <w:rPr>
          <w:sz w:val="22"/>
          <w:szCs w:val="22"/>
        </w:rPr>
        <w:t>频率范围</w:t>
      </w:r>
    </w:p>
    <w:p>
      <w:pPr>
        <w:ind w:left="420"/>
        <w:rPr>
          <w:sz w:val="22"/>
          <w:szCs w:val="22"/>
        </w:rPr>
      </w:pPr>
      <w:r>
        <w:rPr>
          <w:sz w:val="22"/>
          <w:szCs w:val="22"/>
        </w:rPr>
        <w:t xml:space="preserve">9 kHz to 20GHz </w:t>
      </w:r>
      <w:r>
        <w:rPr>
          <w:sz w:val="22"/>
          <w:szCs w:val="22"/>
        </w:rPr>
        <w:tab/>
      </w:r>
      <w:r>
        <w:rPr>
          <w:sz w:val="22"/>
          <w:szCs w:val="22"/>
        </w:rPr>
        <w:t>≥± 1.0</w:t>
      </w:r>
    </w:p>
    <w:p>
      <w:pPr>
        <w:numPr>
          <w:ilvl w:val="0"/>
          <w:numId w:val="11"/>
        </w:numPr>
        <w:rPr>
          <w:sz w:val="22"/>
          <w:szCs w:val="22"/>
        </w:rPr>
      </w:pPr>
      <w:r>
        <w:rPr>
          <w:color w:val="FF0000"/>
          <w:kern w:val="0"/>
          <w:sz w:val="22"/>
          <w:szCs w:val="22"/>
        </w:rPr>
        <w:t>▲</w:t>
      </w:r>
      <w:r>
        <w:rPr>
          <w:sz w:val="22"/>
          <w:szCs w:val="22"/>
        </w:rPr>
        <w:t>功率电平线性度</w:t>
      </w:r>
      <w:r>
        <w:rPr>
          <w:b/>
          <w:bCs/>
          <w:sz w:val="20"/>
          <w:szCs w:val="20"/>
        </w:rPr>
        <w:t>(dB，典型值)</w:t>
      </w:r>
      <w:r>
        <w:rPr>
          <w:sz w:val="22"/>
          <w:szCs w:val="22"/>
        </w:rPr>
        <w:t>：</w:t>
      </w:r>
    </w:p>
    <w:p>
      <w:pPr>
        <w:ind w:left="420"/>
        <w:rPr>
          <w:sz w:val="22"/>
          <w:szCs w:val="22"/>
        </w:rPr>
      </w:pPr>
      <w:r>
        <w:rPr>
          <w:sz w:val="22"/>
          <w:szCs w:val="22"/>
        </w:rPr>
        <w:t>9 kHz to 20 GHz ≥± 1.0</w:t>
      </w:r>
    </w:p>
    <w:p>
      <w:pPr>
        <w:numPr>
          <w:ilvl w:val="0"/>
          <w:numId w:val="11"/>
        </w:numPr>
        <w:rPr>
          <w:sz w:val="22"/>
          <w:szCs w:val="22"/>
        </w:rPr>
      </w:pPr>
      <w:r>
        <w:rPr>
          <w:sz w:val="22"/>
          <w:szCs w:val="22"/>
        </w:rPr>
        <w:t>二次和三次谐波</w:t>
      </w:r>
      <w:r>
        <w:rPr>
          <w:b/>
          <w:bCs/>
          <w:sz w:val="20"/>
          <w:szCs w:val="20"/>
        </w:rPr>
        <w:t>(dBc，典型值) ：</w:t>
      </w:r>
    </w:p>
    <w:p>
      <w:pPr>
        <w:ind w:left="420"/>
        <w:rPr>
          <w:sz w:val="22"/>
          <w:szCs w:val="22"/>
        </w:rPr>
      </w:pPr>
      <w:r>
        <w:rPr>
          <w:sz w:val="22"/>
          <w:szCs w:val="22"/>
        </w:rPr>
        <w:t>频率范围</w:t>
      </w:r>
      <w:r>
        <w:rPr>
          <w:sz w:val="22"/>
          <w:szCs w:val="22"/>
        </w:rPr>
        <w:tab/>
      </w:r>
      <w:r>
        <w:rPr>
          <w:sz w:val="22"/>
          <w:szCs w:val="22"/>
        </w:rPr>
        <w:tab/>
      </w:r>
    </w:p>
    <w:p>
      <w:pPr>
        <w:ind w:left="420"/>
        <w:rPr>
          <w:sz w:val="22"/>
          <w:szCs w:val="22"/>
        </w:rPr>
      </w:pPr>
      <w:r>
        <w:rPr>
          <w:sz w:val="22"/>
          <w:szCs w:val="22"/>
        </w:rPr>
        <w:t xml:space="preserve">30 kHz to 10 MHz ≥-20  </w:t>
      </w:r>
    </w:p>
    <w:p>
      <w:pPr>
        <w:numPr>
          <w:ilvl w:val="0"/>
          <w:numId w:val="11"/>
        </w:numPr>
        <w:rPr>
          <w:kern w:val="0"/>
          <w:sz w:val="22"/>
          <w:szCs w:val="22"/>
        </w:rPr>
      </w:pPr>
      <w:r>
        <w:rPr>
          <w:color w:val="FF0000"/>
          <w:kern w:val="0"/>
          <w:sz w:val="22"/>
          <w:szCs w:val="22"/>
        </w:rPr>
        <w:t>▲</w:t>
      </w:r>
      <w:r>
        <w:rPr>
          <w:kern w:val="0"/>
          <w:sz w:val="22"/>
          <w:szCs w:val="22"/>
        </w:rPr>
        <w:t>子谐波</w:t>
      </w:r>
      <w:r>
        <w:rPr>
          <w:b/>
          <w:bCs/>
          <w:sz w:val="20"/>
          <w:szCs w:val="20"/>
        </w:rPr>
        <w:t>(dBc) ：</w:t>
      </w:r>
    </w:p>
    <w:p>
      <w:pPr>
        <w:ind w:left="420"/>
        <w:rPr>
          <w:kern w:val="0"/>
          <w:sz w:val="22"/>
          <w:szCs w:val="22"/>
        </w:rPr>
      </w:pPr>
      <w:r>
        <w:rPr>
          <w:kern w:val="0"/>
          <w:sz w:val="22"/>
          <w:szCs w:val="22"/>
        </w:rPr>
        <w:t>频率范围</w:t>
      </w:r>
      <w:r>
        <w:rPr>
          <w:kern w:val="0"/>
          <w:sz w:val="22"/>
          <w:szCs w:val="22"/>
        </w:rPr>
        <w:tab/>
      </w:r>
      <w:r>
        <w:rPr>
          <w:kern w:val="0"/>
          <w:sz w:val="22"/>
          <w:szCs w:val="22"/>
        </w:rPr>
        <w:tab/>
      </w:r>
      <w:r>
        <w:rPr>
          <w:kern w:val="0"/>
          <w:sz w:val="22"/>
          <w:szCs w:val="22"/>
        </w:rPr>
        <w:t xml:space="preserve">      典型值 </w:t>
      </w:r>
    </w:p>
    <w:p>
      <w:pPr>
        <w:ind w:left="420"/>
        <w:rPr>
          <w:kern w:val="0"/>
          <w:sz w:val="22"/>
          <w:szCs w:val="22"/>
        </w:rPr>
      </w:pPr>
      <w:r>
        <w:rPr>
          <w:kern w:val="0"/>
          <w:sz w:val="22"/>
          <w:szCs w:val="22"/>
        </w:rPr>
        <w:t xml:space="preserve">9 kHz to 10 MHz          </w:t>
      </w:r>
      <w:r>
        <w:rPr>
          <w:color w:val="000000"/>
          <w:kern w:val="0"/>
          <w:sz w:val="22"/>
          <w:szCs w:val="22"/>
        </w:rPr>
        <w:t>≥</w:t>
      </w:r>
      <w:r>
        <w:rPr>
          <w:kern w:val="0"/>
          <w:sz w:val="22"/>
          <w:szCs w:val="22"/>
        </w:rPr>
        <w:t xml:space="preserve">-50 </w:t>
      </w:r>
    </w:p>
    <w:p>
      <w:pPr>
        <w:ind w:left="420"/>
        <w:rPr>
          <w:kern w:val="0"/>
          <w:sz w:val="22"/>
          <w:szCs w:val="22"/>
        </w:rPr>
      </w:pPr>
      <w:r>
        <w:rPr>
          <w:kern w:val="0"/>
          <w:sz w:val="22"/>
          <w:szCs w:val="22"/>
        </w:rPr>
        <w:t xml:space="preserve">10 MHz to 20 GHz         </w:t>
      </w:r>
      <w:r>
        <w:rPr>
          <w:color w:val="000000"/>
          <w:kern w:val="0"/>
          <w:sz w:val="22"/>
          <w:szCs w:val="22"/>
        </w:rPr>
        <w:t>≥</w:t>
      </w:r>
      <w:r>
        <w:rPr>
          <w:kern w:val="0"/>
          <w:sz w:val="22"/>
          <w:szCs w:val="22"/>
        </w:rPr>
        <w:t>-35</w:t>
      </w:r>
    </w:p>
    <w:p>
      <w:pPr>
        <w:numPr>
          <w:ilvl w:val="0"/>
          <w:numId w:val="11"/>
        </w:numPr>
        <w:rPr>
          <w:kern w:val="0"/>
          <w:sz w:val="22"/>
          <w:szCs w:val="22"/>
        </w:rPr>
      </w:pPr>
      <w:r>
        <w:rPr>
          <w:kern w:val="0"/>
          <w:sz w:val="22"/>
          <w:szCs w:val="22"/>
        </w:rPr>
        <w:t>功率分辨率和最大最小可设置的功率范围：</w:t>
      </w:r>
    </w:p>
    <w:tbl>
      <w:tblPr>
        <w:tblStyle w:val="11"/>
        <w:tblW w:w="6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21"/>
        <w:gridCol w:w="3114"/>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3121" w:type="dxa"/>
          </w:tcPr>
          <w:p>
            <w:pPr>
              <w:pStyle w:val="27"/>
              <w:rPr>
                <w:rFonts w:ascii="Times New Roman" w:hAnsi="Times New Roman" w:cs="Times New Roman"/>
                <w:sz w:val="20"/>
                <w:szCs w:val="20"/>
              </w:rPr>
            </w:pPr>
            <w:r>
              <w:rPr>
                <w:rFonts w:ascii="Times New Roman" w:hAnsi="Times New Roman" w:cs="Times New Roman"/>
                <w:b/>
                <w:bCs/>
                <w:sz w:val="20"/>
                <w:szCs w:val="20"/>
              </w:rPr>
              <w:t>频率范围</w:t>
            </w:r>
          </w:p>
        </w:tc>
        <w:tc>
          <w:tcPr>
            <w:tcW w:w="3129" w:type="dxa"/>
            <w:gridSpan w:val="2"/>
          </w:tcPr>
          <w:p>
            <w:pPr>
              <w:pStyle w:val="27"/>
              <w:rPr>
                <w:rFonts w:ascii="Times New Roman" w:hAnsi="Times New Roman" w:cs="Times New Roman"/>
                <w:sz w:val="20"/>
                <w:szCs w:val="20"/>
              </w:rPr>
            </w:pPr>
            <w:r>
              <w:rPr>
                <w:rFonts w:ascii="Times New Roman" w:hAnsi="Times New Roman" w:cs="Times New Roman"/>
                <w:b/>
                <w:bCs/>
                <w:sz w:val="20"/>
                <w:szCs w:val="20"/>
              </w:rPr>
              <w:t xml:space="preserve">典型值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137" w:hRule="atLeast"/>
        </w:trPr>
        <w:tc>
          <w:tcPr>
            <w:tcW w:w="3121" w:type="dxa"/>
          </w:tcPr>
          <w:p>
            <w:pPr>
              <w:pStyle w:val="27"/>
              <w:rPr>
                <w:rFonts w:ascii="Times New Roman" w:hAnsi="Times New Roman" w:cs="Times New Roman"/>
                <w:sz w:val="20"/>
                <w:szCs w:val="20"/>
              </w:rPr>
            </w:pPr>
            <w:r>
              <w:rPr>
                <w:rFonts w:ascii="Times New Roman" w:hAnsi="Times New Roman" w:cs="Times New Roman"/>
                <w:sz w:val="20"/>
                <w:szCs w:val="20"/>
              </w:rPr>
              <w:t xml:space="preserve">可设置的分辨率 </w:t>
            </w:r>
          </w:p>
        </w:tc>
        <w:tc>
          <w:tcPr>
            <w:tcW w:w="3114" w:type="dxa"/>
          </w:tcPr>
          <w:p>
            <w:pPr>
              <w:pStyle w:val="27"/>
              <w:rPr>
                <w:rFonts w:ascii="Times New Roman" w:hAnsi="Times New Roman" w:cs="Times New Roman"/>
                <w:sz w:val="20"/>
                <w:szCs w:val="20"/>
              </w:rPr>
            </w:pPr>
            <w:r>
              <w:rPr>
                <w:rFonts w:ascii="Times New Roman" w:hAnsi="Times New Roman" w:cs="Times New Roman"/>
                <w:sz w:val="20"/>
                <w:szCs w:val="20"/>
              </w:rPr>
              <w:t xml:space="preserve">0.01 dB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137" w:hRule="atLeast"/>
        </w:trPr>
        <w:tc>
          <w:tcPr>
            <w:tcW w:w="3121" w:type="dxa"/>
          </w:tcPr>
          <w:p>
            <w:pPr>
              <w:pStyle w:val="27"/>
              <w:rPr>
                <w:rFonts w:ascii="Times New Roman" w:hAnsi="Times New Roman" w:cs="Times New Roman"/>
                <w:sz w:val="20"/>
                <w:szCs w:val="20"/>
              </w:rPr>
            </w:pPr>
            <w:r>
              <w:rPr>
                <w:rFonts w:ascii="Times New Roman" w:hAnsi="Times New Roman" w:cs="Times New Roman"/>
                <w:sz w:val="20"/>
                <w:szCs w:val="20"/>
              </w:rPr>
              <w:t>最大可设置的功率</w:t>
            </w:r>
          </w:p>
        </w:tc>
        <w:tc>
          <w:tcPr>
            <w:tcW w:w="3114" w:type="dxa"/>
          </w:tcPr>
          <w:p>
            <w:pPr>
              <w:pStyle w:val="27"/>
              <w:rPr>
                <w:rFonts w:ascii="Times New Roman" w:hAnsi="Times New Roman" w:cs="Times New Roman"/>
                <w:sz w:val="20"/>
                <w:szCs w:val="20"/>
              </w:rPr>
            </w:pPr>
            <w:r>
              <w:rPr>
                <w:rFonts w:ascii="Times New Roman" w:hAnsi="Times New Roman" w:cs="Times New Roman"/>
                <w:sz w:val="20"/>
                <w:szCs w:val="20"/>
              </w:rPr>
              <w:t xml:space="preserve">+20 dBm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137" w:hRule="atLeast"/>
        </w:trPr>
        <w:tc>
          <w:tcPr>
            <w:tcW w:w="3121" w:type="dxa"/>
          </w:tcPr>
          <w:p>
            <w:pPr>
              <w:pStyle w:val="27"/>
              <w:rPr>
                <w:rFonts w:ascii="Times New Roman" w:hAnsi="Times New Roman" w:cs="Times New Roman"/>
                <w:sz w:val="20"/>
                <w:szCs w:val="20"/>
              </w:rPr>
            </w:pPr>
            <w:r>
              <w:rPr>
                <w:rFonts w:ascii="Times New Roman" w:hAnsi="Times New Roman" w:cs="Times New Roman"/>
                <w:sz w:val="20"/>
                <w:szCs w:val="20"/>
              </w:rPr>
              <w:t>最小可设置的功率</w:t>
            </w:r>
          </w:p>
        </w:tc>
        <w:tc>
          <w:tcPr>
            <w:tcW w:w="3114" w:type="dxa"/>
          </w:tcPr>
          <w:p>
            <w:pPr>
              <w:pStyle w:val="27"/>
              <w:rPr>
                <w:rFonts w:ascii="Times New Roman" w:hAnsi="Times New Roman" w:cs="Times New Roman"/>
                <w:sz w:val="20"/>
                <w:szCs w:val="20"/>
              </w:rPr>
            </w:pPr>
            <w:r>
              <w:rPr>
                <w:rFonts w:ascii="Times New Roman" w:hAnsi="Times New Roman" w:cs="Times New Roman"/>
                <w:sz w:val="20"/>
                <w:szCs w:val="20"/>
              </w:rPr>
              <w:t xml:space="preserve">-100 dBm </w:t>
            </w:r>
          </w:p>
        </w:tc>
      </w:tr>
    </w:tbl>
    <w:p>
      <w:pPr>
        <w:numPr>
          <w:ilvl w:val="0"/>
          <w:numId w:val="11"/>
        </w:numPr>
        <w:rPr>
          <w:kern w:val="0"/>
          <w:sz w:val="22"/>
          <w:szCs w:val="22"/>
        </w:rPr>
      </w:pPr>
      <w:r>
        <w:rPr>
          <w:rFonts w:ascii="Segoe UI Symbol" w:hAnsi="Segoe UI Symbol" w:cs="Segoe UI Symbol"/>
          <w:color w:val="FF0000"/>
          <w:kern w:val="0"/>
          <w:sz w:val="22"/>
          <w:szCs w:val="22"/>
        </w:rPr>
        <w:t>★</w:t>
      </w:r>
      <w:r>
        <w:rPr>
          <w:kern w:val="0"/>
          <w:sz w:val="22"/>
          <w:szCs w:val="22"/>
        </w:rPr>
        <w:t>轨迹噪声幅度</w:t>
      </w:r>
      <w:r>
        <w:rPr>
          <w:b/>
          <w:bCs/>
          <w:sz w:val="20"/>
          <w:szCs w:val="20"/>
        </w:rPr>
        <w:t>(dB rms)</w:t>
      </w:r>
    </w:p>
    <w:tbl>
      <w:tblPr>
        <w:tblStyle w:val="11"/>
        <w:tblW w:w="6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23"/>
        <w:gridCol w:w="55"/>
        <w:gridCol w:w="3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33" w:type="dxa"/>
          <w:trHeight w:val="146" w:hRule="atLeast"/>
        </w:trPr>
        <w:tc>
          <w:tcPr>
            <w:tcW w:w="3123" w:type="dxa"/>
          </w:tcPr>
          <w:p>
            <w:pPr>
              <w:pStyle w:val="27"/>
              <w:rPr>
                <w:rFonts w:ascii="Times New Roman" w:hAnsi="Times New Roman" w:cs="Times New Roman"/>
                <w:sz w:val="20"/>
                <w:szCs w:val="20"/>
              </w:rPr>
            </w:pPr>
            <w:r>
              <w:rPr>
                <w:rFonts w:ascii="Times New Roman" w:hAnsi="Times New Roman" w:cs="Times New Roman"/>
                <w:b/>
                <w:bCs/>
                <w:sz w:val="20"/>
                <w:szCs w:val="20"/>
              </w:rPr>
              <w:t>频率范围（典型值）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3178" w:type="dxa"/>
            <w:gridSpan w:val="2"/>
          </w:tcPr>
          <w:p>
            <w:pPr>
              <w:pStyle w:val="27"/>
              <w:rPr>
                <w:rFonts w:ascii="Times New Roman" w:hAnsi="Times New Roman" w:cs="Times New Roman"/>
                <w:sz w:val="20"/>
                <w:szCs w:val="20"/>
              </w:rPr>
            </w:pPr>
            <w:r>
              <w:rPr>
                <w:rFonts w:ascii="Times New Roman" w:hAnsi="Times New Roman" w:cs="Times New Roman"/>
                <w:sz w:val="20"/>
                <w:szCs w:val="20"/>
              </w:rPr>
              <w:t xml:space="preserve">9 kHz to 30 kHz </w:t>
            </w:r>
          </w:p>
        </w:tc>
        <w:tc>
          <w:tcPr>
            <w:tcW w:w="3178" w:type="dxa"/>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 xml:space="preserve">0.0025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3178" w:type="dxa"/>
            <w:gridSpan w:val="2"/>
          </w:tcPr>
          <w:p>
            <w:pPr>
              <w:pStyle w:val="27"/>
              <w:rPr>
                <w:rFonts w:ascii="Times New Roman" w:hAnsi="Times New Roman" w:cs="Times New Roman"/>
                <w:sz w:val="20"/>
                <w:szCs w:val="20"/>
              </w:rPr>
            </w:pPr>
            <w:r>
              <w:rPr>
                <w:rFonts w:ascii="Times New Roman" w:hAnsi="Times New Roman" w:cs="Times New Roman"/>
                <w:sz w:val="20"/>
                <w:szCs w:val="20"/>
              </w:rPr>
              <w:t xml:space="preserve">30 kHz to 20GHz </w:t>
            </w:r>
          </w:p>
        </w:tc>
        <w:tc>
          <w:tcPr>
            <w:tcW w:w="3178" w:type="dxa"/>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 xml:space="preserve">0.001 </w:t>
            </w:r>
          </w:p>
        </w:tc>
      </w:tr>
    </w:tbl>
    <w:p>
      <w:pPr>
        <w:numPr>
          <w:ilvl w:val="0"/>
          <w:numId w:val="11"/>
        </w:numPr>
        <w:rPr>
          <w:kern w:val="0"/>
          <w:sz w:val="22"/>
          <w:szCs w:val="22"/>
        </w:rPr>
      </w:pPr>
      <w:r>
        <w:rPr>
          <w:color w:val="FF0000"/>
          <w:kern w:val="0"/>
          <w:sz w:val="22"/>
          <w:szCs w:val="22"/>
        </w:rPr>
        <w:t>▲</w:t>
      </w:r>
      <w:r>
        <w:rPr>
          <w:kern w:val="0"/>
          <w:sz w:val="22"/>
          <w:szCs w:val="22"/>
        </w:rPr>
        <w:t>轨迹噪声相位</w:t>
      </w:r>
      <w:r>
        <w:rPr>
          <w:b/>
          <w:bCs/>
          <w:sz w:val="20"/>
          <w:szCs w:val="20"/>
        </w:rPr>
        <w:t>(degree rms)</w:t>
      </w:r>
      <w:r>
        <w:rPr>
          <w:kern w:val="0"/>
          <w:sz w:val="22"/>
          <w:szCs w:val="22"/>
        </w:rPr>
        <w:t>：</w:t>
      </w:r>
      <w:r>
        <w:rPr>
          <w:b/>
          <w:bCs/>
          <w:sz w:val="20"/>
          <w:szCs w:val="20"/>
        </w:rPr>
        <w:t>（典型值）</w:t>
      </w:r>
    </w:p>
    <w:tbl>
      <w:tblPr>
        <w:tblStyle w:val="11"/>
        <w:tblW w:w="6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23"/>
        <w:gridCol w:w="72"/>
        <w:gridCol w:w="3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67" w:type="dxa"/>
          <w:trHeight w:val="146" w:hRule="atLeast"/>
        </w:trPr>
        <w:tc>
          <w:tcPr>
            <w:tcW w:w="3123" w:type="dxa"/>
          </w:tcPr>
          <w:p>
            <w:pPr>
              <w:pStyle w:val="27"/>
              <w:rPr>
                <w:rFonts w:ascii="Times New Roman" w:hAnsi="Times New Roman" w:cs="Times New Roman"/>
                <w:sz w:val="20"/>
                <w:szCs w:val="20"/>
              </w:rPr>
            </w:pPr>
            <w:r>
              <w:rPr>
                <w:rFonts w:ascii="Times New Roman" w:hAnsi="Times New Roman" w:cs="Times New Roman"/>
                <w:b/>
                <w:bCs/>
                <w:sz w:val="20"/>
                <w:szCs w:val="20"/>
              </w:rPr>
              <w:t>频率范围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3195" w:type="dxa"/>
            <w:gridSpan w:val="2"/>
          </w:tcPr>
          <w:p>
            <w:pPr>
              <w:pStyle w:val="27"/>
              <w:rPr>
                <w:rFonts w:ascii="Times New Roman" w:hAnsi="Times New Roman" w:cs="Times New Roman"/>
                <w:sz w:val="20"/>
                <w:szCs w:val="20"/>
              </w:rPr>
            </w:pPr>
            <w:r>
              <w:rPr>
                <w:rFonts w:ascii="Times New Roman" w:hAnsi="Times New Roman" w:cs="Times New Roman"/>
                <w:sz w:val="20"/>
                <w:szCs w:val="20"/>
              </w:rPr>
              <w:t xml:space="preserve">9 kHz to 30 kHz </w:t>
            </w:r>
          </w:p>
        </w:tc>
        <w:tc>
          <w:tcPr>
            <w:tcW w:w="3195" w:type="dxa"/>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 xml:space="preserve">0.025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3195" w:type="dxa"/>
            <w:gridSpan w:val="2"/>
          </w:tcPr>
          <w:p>
            <w:pPr>
              <w:pStyle w:val="27"/>
              <w:rPr>
                <w:rFonts w:ascii="Times New Roman" w:hAnsi="Times New Roman" w:cs="Times New Roman"/>
                <w:sz w:val="20"/>
                <w:szCs w:val="20"/>
              </w:rPr>
            </w:pPr>
            <w:r>
              <w:rPr>
                <w:rFonts w:ascii="Times New Roman" w:hAnsi="Times New Roman" w:cs="Times New Roman"/>
                <w:sz w:val="20"/>
                <w:szCs w:val="20"/>
              </w:rPr>
              <w:t xml:space="preserve">30 kHz to 100 kHz </w:t>
            </w:r>
          </w:p>
        </w:tc>
        <w:tc>
          <w:tcPr>
            <w:tcW w:w="3195" w:type="dxa"/>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 xml:space="preserve">0.017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3195" w:type="dxa"/>
            <w:gridSpan w:val="2"/>
          </w:tcPr>
          <w:p>
            <w:pPr>
              <w:pStyle w:val="27"/>
              <w:rPr>
                <w:rFonts w:ascii="Times New Roman" w:hAnsi="Times New Roman" w:cs="Times New Roman"/>
                <w:sz w:val="20"/>
                <w:szCs w:val="20"/>
              </w:rPr>
            </w:pPr>
            <w:r>
              <w:rPr>
                <w:rFonts w:ascii="Times New Roman" w:hAnsi="Times New Roman" w:cs="Times New Roman"/>
                <w:sz w:val="20"/>
                <w:szCs w:val="20"/>
              </w:rPr>
              <w:t xml:space="preserve">100 kHz to 13.5GHz </w:t>
            </w:r>
          </w:p>
        </w:tc>
        <w:tc>
          <w:tcPr>
            <w:tcW w:w="3195" w:type="dxa"/>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 xml:space="preserve">0.006 </w:t>
            </w:r>
          </w:p>
        </w:tc>
      </w:tr>
    </w:tbl>
    <w:p>
      <w:pPr>
        <w:ind w:left="420"/>
        <w:rPr>
          <w:kern w:val="0"/>
          <w:sz w:val="22"/>
          <w:szCs w:val="22"/>
        </w:rPr>
      </w:pPr>
    </w:p>
    <w:p>
      <w:pPr>
        <w:numPr>
          <w:ilvl w:val="0"/>
          <w:numId w:val="11"/>
        </w:numPr>
        <w:rPr>
          <w:kern w:val="0"/>
          <w:sz w:val="22"/>
          <w:szCs w:val="22"/>
        </w:rPr>
      </w:pPr>
      <w:r>
        <w:rPr>
          <w:color w:val="FF0000"/>
          <w:kern w:val="0"/>
          <w:sz w:val="22"/>
          <w:szCs w:val="22"/>
        </w:rPr>
        <w:t>▲</w:t>
      </w:r>
      <w:r>
        <w:rPr>
          <w:kern w:val="0"/>
          <w:sz w:val="22"/>
          <w:szCs w:val="22"/>
        </w:rPr>
        <w:t>温度稳定性-典型值</w:t>
      </w:r>
    </w:p>
    <w:tbl>
      <w:tblPr>
        <w:tblStyle w:val="11"/>
        <w:tblW w:w="9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23"/>
        <w:gridCol w:w="72"/>
        <w:gridCol w:w="3051"/>
        <w:gridCol w:w="144"/>
        <w:gridCol w:w="2979"/>
        <w:gridCol w:w="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146" w:hRule="atLeast"/>
        </w:trPr>
        <w:tc>
          <w:tcPr>
            <w:tcW w:w="3123" w:type="dxa"/>
          </w:tcPr>
          <w:p>
            <w:pPr>
              <w:pStyle w:val="27"/>
              <w:rPr>
                <w:rFonts w:ascii="Times New Roman" w:hAnsi="Times New Roman" w:cs="Times New Roman"/>
                <w:sz w:val="20"/>
                <w:szCs w:val="20"/>
              </w:rPr>
            </w:pPr>
            <w:r>
              <w:rPr>
                <w:rFonts w:ascii="Times New Roman" w:hAnsi="Times New Roman" w:cs="Times New Roman"/>
                <w:b/>
                <w:bCs/>
                <w:sz w:val="20"/>
                <w:szCs w:val="20"/>
              </w:rPr>
              <w:t>频率范围</w:t>
            </w:r>
          </w:p>
        </w:tc>
        <w:tc>
          <w:tcPr>
            <w:tcW w:w="3123" w:type="dxa"/>
            <w:gridSpan w:val="2"/>
          </w:tcPr>
          <w:p>
            <w:pPr>
              <w:pStyle w:val="27"/>
              <w:rPr>
                <w:rFonts w:ascii="Times New Roman" w:hAnsi="Times New Roman" w:cs="Times New Roman"/>
                <w:sz w:val="20"/>
                <w:szCs w:val="20"/>
              </w:rPr>
            </w:pPr>
            <w:r>
              <w:rPr>
                <w:rFonts w:ascii="Times New Roman" w:hAnsi="Times New Roman" w:cs="Times New Roman"/>
                <w:b/>
                <w:bCs/>
                <w:sz w:val="20"/>
                <w:szCs w:val="20"/>
              </w:rPr>
              <w:t>幅度</w:t>
            </w:r>
          </w:p>
        </w:tc>
        <w:tc>
          <w:tcPr>
            <w:tcW w:w="3123" w:type="dxa"/>
            <w:gridSpan w:val="2"/>
          </w:tcPr>
          <w:p>
            <w:pPr>
              <w:pStyle w:val="27"/>
              <w:rPr>
                <w:rFonts w:ascii="Times New Roman" w:hAnsi="Times New Roman" w:cs="Times New Roman"/>
                <w:sz w:val="20"/>
                <w:szCs w:val="20"/>
              </w:rPr>
            </w:pPr>
            <w:r>
              <w:rPr>
                <w:rFonts w:ascii="Times New Roman" w:hAnsi="Times New Roman" w:cs="Times New Roman"/>
                <w:b/>
                <w:bCs/>
                <w:sz w:val="20"/>
                <w:szCs w:val="20"/>
              </w:rPr>
              <w:t xml:space="preserve">相位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3195" w:type="dxa"/>
            <w:gridSpan w:val="2"/>
          </w:tcPr>
          <w:p>
            <w:pPr>
              <w:pStyle w:val="27"/>
              <w:rPr>
                <w:rFonts w:ascii="Times New Roman" w:hAnsi="Times New Roman" w:cs="Times New Roman"/>
                <w:sz w:val="20"/>
                <w:szCs w:val="20"/>
              </w:rPr>
            </w:pPr>
            <w:r>
              <w:rPr>
                <w:rFonts w:ascii="Times New Roman" w:hAnsi="Times New Roman" w:cs="Times New Roman"/>
                <w:sz w:val="20"/>
                <w:szCs w:val="20"/>
              </w:rPr>
              <w:t xml:space="preserve">9 kHz to 300 kHz </w:t>
            </w:r>
          </w:p>
        </w:tc>
        <w:tc>
          <w:tcPr>
            <w:tcW w:w="3195" w:type="dxa"/>
            <w:gridSpan w:val="2"/>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 xml:space="preserve">0.03 </w:t>
            </w:r>
          </w:p>
        </w:tc>
        <w:tc>
          <w:tcPr>
            <w:tcW w:w="3195" w:type="dxa"/>
            <w:gridSpan w:val="2"/>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 xml:space="preserve">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3195" w:type="dxa"/>
            <w:gridSpan w:val="2"/>
            <w:tcBorders>
              <w:left w:val="nil"/>
              <w:bottom w:val="nil"/>
            </w:tcBorders>
          </w:tcPr>
          <w:p>
            <w:pPr>
              <w:pStyle w:val="27"/>
              <w:rPr>
                <w:rFonts w:ascii="Times New Roman" w:hAnsi="Times New Roman" w:cs="Times New Roman"/>
                <w:sz w:val="20"/>
                <w:szCs w:val="20"/>
              </w:rPr>
            </w:pPr>
            <w:r>
              <w:rPr>
                <w:rFonts w:ascii="Times New Roman" w:hAnsi="Times New Roman" w:cs="Times New Roman"/>
                <w:sz w:val="20"/>
                <w:szCs w:val="20"/>
              </w:rPr>
              <w:t xml:space="preserve">14GHz to 20GHz </w:t>
            </w:r>
          </w:p>
        </w:tc>
        <w:tc>
          <w:tcPr>
            <w:tcW w:w="3195" w:type="dxa"/>
            <w:gridSpan w:val="2"/>
            <w:tcBorders>
              <w:bottom w:val="nil"/>
            </w:tcBorders>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0.02</w:t>
            </w:r>
          </w:p>
        </w:tc>
        <w:tc>
          <w:tcPr>
            <w:tcW w:w="3195" w:type="dxa"/>
            <w:gridSpan w:val="2"/>
            <w:tcBorders>
              <w:bottom w:val="nil"/>
              <w:right w:val="nil"/>
            </w:tcBorders>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0.4</w:t>
            </w:r>
          </w:p>
        </w:tc>
      </w:tr>
    </w:tbl>
    <w:p>
      <w:pPr>
        <w:ind w:left="420"/>
        <w:rPr>
          <w:kern w:val="0"/>
          <w:sz w:val="22"/>
          <w:szCs w:val="22"/>
        </w:rPr>
      </w:pPr>
    </w:p>
    <w:p>
      <w:pPr>
        <w:numPr>
          <w:ilvl w:val="0"/>
          <w:numId w:val="11"/>
        </w:numPr>
        <w:rPr>
          <w:kern w:val="0"/>
          <w:sz w:val="22"/>
          <w:szCs w:val="22"/>
        </w:rPr>
      </w:pPr>
      <w:r>
        <w:rPr>
          <w:color w:val="FF0000"/>
          <w:kern w:val="0"/>
          <w:sz w:val="22"/>
          <w:szCs w:val="22"/>
        </w:rPr>
        <w:t>▲</w:t>
      </w:r>
      <w:r>
        <w:rPr>
          <w:kern w:val="0"/>
          <w:sz w:val="22"/>
          <w:szCs w:val="22"/>
        </w:rPr>
        <w:t>输入的VSWR</w:t>
      </w:r>
    </w:p>
    <w:tbl>
      <w:tblPr>
        <w:tblStyle w:val="11"/>
        <w:tblW w:w="9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1"/>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4821" w:type="dxa"/>
          </w:tcPr>
          <w:p>
            <w:pPr>
              <w:pStyle w:val="27"/>
              <w:rPr>
                <w:rFonts w:ascii="Times New Roman" w:hAnsi="Times New Roman" w:cs="Times New Roman"/>
                <w:sz w:val="20"/>
                <w:szCs w:val="20"/>
              </w:rPr>
            </w:pPr>
            <w:r>
              <w:rPr>
                <w:rFonts w:ascii="Times New Roman" w:hAnsi="Times New Roman" w:cs="Times New Roman"/>
                <w:b/>
                <w:bCs/>
                <w:sz w:val="20"/>
                <w:szCs w:val="20"/>
              </w:rPr>
              <w:t>频率范围</w:t>
            </w:r>
          </w:p>
        </w:tc>
        <w:tc>
          <w:tcPr>
            <w:tcW w:w="4821" w:type="dxa"/>
          </w:tcPr>
          <w:p>
            <w:pPr>
              <w:pStyle w:val="27"/>
              <w:rPr>
                <w:rFonts w:ascii="Times New Roman" w:hAnsi="Times New Roman" w:cs="Times New Roman"/>
                <w:sz w:val="20"/>
                <w:szCs w:val="20"/>
              </w:rPr>
            </w:pPr>
            <w:r>
              <w:rPr>
                <w:rFonts w:ascii="Times New Roman" w:hAnsi="Times New Roman" w:cs="Times New Roman"/>
                <w:b/>
                <w:bCs/>
                <w:sz w:val="20"/>
                <w:szCs w:val="20"/>
              </w:rPr>
              <w:t>保证值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4821" w:type="dxa"/>
          </w:tcPr>
          <w:p>
            <w:pPr>
              <w:pStyle w:val="27"/>
              <w:rPr>
                <w:rFonts w:ascii="Times New Roman" w:hAnsi="Times New Roman" w:cs="Times New Roman"/>
                <w:sz w:val="20"/>
                <w:szCs w:val="20"/>
              </w:rPr>
            </w:pPr>
            <w:r>
              <w:rPr>
                <w:rFonts w:ascii="Times New Roman" w:hAnsi="Times New Roman" w:cs="Times New Roman"/>
                <w:sz w:val="20"/>
                <w:szCs w:val="20"/>
              </w:rPr>
              <w:t xml:space="preserve">300 kHz to 3GHz </w:t>
            </w:r>
          </w:p>
        </w:tc>
        <w:tc>
          <w:tcPr>
            <w:tcW w:w="4821" w:type="dxa"/>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4821" w:type="dxa"/>
          </w:tcPr>
          <w:p>
            <w:pPr>
              <w:pStyle w:val="27"/>
              <w:rPr>
                <w:rFonts w:ascii="Times New Roman" w:hAnsi="Times New Roman" w:cs="Times New Roman"/>
                <w:sz w:val="20"/>
                <w:szCs w:val="20"/>
              </w:rPr>
            </w:pPr>
            <w:r>
              <w:rPr>
                <w:rFonts w:ascii="Times New Roman" w:hAnsi="Times New Roman" w:cs="Times New Roman"/>
                <w:sz w:val="20"/>
                <w:szCs w:val="20"/>
              </w:rPr>
              <w:t xml:space="preserve">3 GHz to 16 GHz </w:t>
            </w:r>
          </w:p>
        </w:tc>
        <w:tc>
          <w:tcPr>
            <w:tcW w:w="4821" w:type="dxa"/>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4821" w:type="dxa"/>
            <w:tcBorders>
              <w:left w:val="nil"/>
              <w:bottom w:val="nil"/>
            </w:tcBorders>
          </w:tcPr>
          <w:p>
            <w:pPr>
              <w:pStyle w:val="27"/>
              <w:rPr>
                <w:rFonts w:ascii="Times New Roman" w:hAnsi="Times New Roman" w:cs="Times New Roman"/>
                <w:sz w:val="20"/>
                <w:szCs w:val="20"/>
              </w:rPr>
            </w:pPr>
            <w:r>
              <w:rPr>
                <w:rFonts w:ascii="Times New Roman" w:hAnsi="Times New Roman" w:cs="Times New Roman"/>
                <w:sz w:val="20"/>
                <w:szCs w:val="20"/>
              </w:rPr>
              <w:t xml:space="preserve">16GHz to 20GHz </w:t>
            </w:r>
          </w:p>
        </w:tc>
        <w:tc>
          <w:tcPr>
            <w:tcW w:w="4821" w:type="dxa"/>
            <w:tcBorders>
              <w:bottom w:val="nil"/>
              <w:right w:val="nil"/>
            </w:tcBorders>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 xml:space="preserve">2.4 </w:t>
            </w:r>
          </w:p>
        </w:tc>
      </w:tr>
    </w:tbl>
    <w:p>
      <w:pPr>
        <w:ind w:left="420"/>
        <w:rPr>
          <w:kern w:val="0"/>
          <w:sz w:val="22"/>
          <w:szCs w:val="22"/>
        </w:rPr>
      </w:pPr>
    </w:p>
    <w:p>
      <w:pPr>
        <w:numPr>
          <w:ilvl w:val="0"/>
          <w:numId w:val="11"/>
        </w:numPr>
        <w:rPr>
          <w:kern w:val="0"/>
          <w:sz w:val="22"/>
          <w:szCs w:val="22"/>
        </w:rPr>
      </w:pPr>
      <w:r>
        <w:rPr>
          <w:rFonts w:ascii="Segoe UI Symbol" w:hAnsi="Segoe UI Symbol" w:cs="Segoe UI Symbol"/>
          <w:color w:val="FF0000"/>
          <w:kern w:val="0"/>
          <w:sz w:val="22"/>
          <w:szCs w:val="22"/>
        </w:rPr>
        <w:t>★</w:t>
      </w:r>
      <w:r>
        <w:rPr>
          <w:kern w:val="0"/>
          <w:sz w:val="22"/>
          <w:szCs w:val="22"/>
        </w:rPr>
        <w:t>在测试端口的显示平均噪底（DANL）（使用低衰减器）(dBm/Hz,典型值)</w:t>
      </w:r>
    </w:p>
    <w:tbl>
      <w:tblPr>
        <w:tblStyle w:val="11"/>
        <w:tblW w:w="6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23"/>
        <w:gridCol w:w="55"/>
        <w:gridCol w:w="3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233" w:type="dxa"/>
          <w:trHeight w:val="146" w:hRule="atLeast"/>
        </w:trPr>
        <w:tc>
          <w:tcPr>
            <w:tcW w:w="3123" w:type="dxa"/>
          </w:tcPr>
          <w:p>
            <w:pPr>
              <w:pStyle w:val="27"/>
              <w:rPr>
                <w:rFonts w:ascii="Times New Roman" w:hAnsi="Times New Roman" w:cs="Times New Roman"/>
                <w:sz w:val="20"/>
                <w:szCs w:val="20"/>
              </w:rPr>
            </w:pPr>
            <w:r>
              <w:rPr>
                <w:rFonts w:ascii="Times New Roman" w:hAnsi="Times New Roman" w:cs="Times New Roman"/>
                <w:b/>
                <w:bCs/>
                <w:sz w:val="20"/>
                <w:szCs w:val="20"/>
              </w:rPr>
              <w:t>频率范围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3178" w:type="dxa"/>
            <w:gridSpan w:val="2"/>
          </w:tcPr>
          <w:p>
            <w:pPr>
              <w:pStyle w:val="27"/>
              <w:rPr>
                <w:rFonts w:ascii="Times New Roman" w:hAnsi="Times New Roman" w:cs="Times New Roman"/>
                <w:sz w:val="20"/>
                <w:szCs w:val="20"/>
              </w:rPr>
            </w:pPr>
            <w:r>
              <w:rPr>
                <w:rFonts w:ascii="Times New Roman" w:hAnsi="Times New Roman" w:cs="Times New Roman"/>
                <w:sz w:val="20"/>
                <w:szCs w:val="20"/>
              </w:rPr>
              <w:t xml:space="preserve">9 kHz to 100 kHz </w:t>
            </w:r>
          </w:p>
        </w:tc>
        <w:tc>
          <w:tcPr>
            <w:tcW w:w="3178" w:type="dxa"/>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 xml:space="preserve">-122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3178" w:type="dxa"/>
            <w:gridSpan w:val="2"/>
          </w:tcPr>
          <w:p>
            <w:pPr>
              <w:pStyle w:val="27"/>
              <w:rPr>
                <w:rFonts w:ascii="Times New Roman" w:hAnsi="Times New Roman" w:cs="Times New Roman"/>
                <w:sz w:val="20"/>
                <w:szCs w:val="20"/>
              </w:rPr>
            </w:pPr>
            <w:r>
              <w:rPr>
                <w:rFonts w:ascii="Times New Roman" w:hAnsi="Times New Roman" w:cs="Times New Roman"/>
                <w:sz w:val="20"/>
                <w:szCs w:val="20"/>
              </w:rPr>
              <w:t xml:space="preserve">1 MHz to 100 MHz </w:t>
            </w:r>
          </w:p>
        </w:tc>
        <w:tc>
          <w:tcPr>
            <w:tcW w:w="3178" w:type="dxa"/>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 xml:space="preserve">-145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3178" w:type="dxa"/>
            <w:gridSpan w:val="2"/>
          </w:tcPr>
          <w:p>
            <w:pPr>
              <w:pStyle w:val="27"/>
              <w:rPr>
                <w:rFonts w:ascii="Times New Roman" w:hAnsi="Times New Roman" w:cs="Times New Roman"/>
                <w:sz w:val="20"/>
                <w:szCs w:val="20"/>
              </w:rPr>
            </w:pPr>
            <w:r>
              <w:rPr>
                <w:rFonts w:ascii="Times New Roman" w:hAnsi="Times New Roman" w:cs="Times New Roman"/>
                <w:sz w:val="20"/>
                <w:szCs w:val="20"/>
              </w:rPr>
              <w:t xml:space="preserve">100 MHz to 9 GHz </w:t>
            </w:r>
          </w:p>
        </w:tc>
        <w:tc>
          <w:tcPr>
            <w:tcW w:w="3178" w:type="dxa"/>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3178" w:type="dxa"/>
            <w:gridSpan w:val="2"/>
            <w:tcBorders>
              <w:left w:val="nil"/>
              <w:bottom w:val="nil"/>
            </w:tcBorders>
          </w:tcPr>
          <w:p>
            <w:pPr>
              <w:pStyle w:val="27"/>
              <w:rPr>
                <w:rFonts w:ascii="Times New Roman" w:hAnsi="Times New Roman" w:cs="Times New Roman"/>
                <w:sz w:val="20"/>
                <w:szCs w:val="20"/>
              </w:rPr>
            </w:pPr>
            <w:r>
              <w:rPr>
                <w:rFonts w:ascii="Times New Roman" w:hAnsi="Times New Roman" w:cs="Times New Roman"/>
                <w:sz w:val="20"/>
                <w:szCs w:val="20"/>
              </w:rPr>
              <w:t xml:space="preserve">9 GHz to 20GHz </w:t>
            </w:r>
          </w:p>
        </w:tc>
        <w:tc>
          <w:tcPr>
            <w:tcW w:w="3178" w:type="dxa"/>
            <w:tcBorders>
              <w:bottom w:val="nil"/>
              <w:right w:val="nil"/>
            </w:tcBorders>
          </w:tcPr>
          <w:p>
            <w:pPr>
              <w:pStyle w:val="27"/>
              <w:rPr>
                <w:rFonts w:ascii="Times New Roman" w:hAnsi="Times New Roman" w:cs="Times New Roman"/>
                <w:sz w:val="20"/>
                <w:szCs w:val="20"/>
              </w:rPr>
            </w:pPr>
            <w:r>
              <w:rPr>
                <w:rFonts w:ascii="Times New Roman" w:hAnsi="Times New Roman" w:cs="Times New Roman"/>
                <w:sz w:val="22"/>
                <w:szCs w:val="22"/>
              </w:rPr>
              <w:t>≤</w:t>
            </w:r>
            <w:r>
              <w:rPr>
                <w:rFonts w:ascii="Times New Roman" w:hAnsi="Times New Roman" w:cs="Times New Roman"/>
                <w:sz w:val="20"/>
                <w:szCs w:val="20"/>
              </w:rPr>
              <w:t>-144</w:t>
            </w:r>
          </w:p>
        </w:tc>
      </w:tr>
    </w:tbl>
    <w:p>
      <w:pPr>
        <w:ind w:left="420"/>
        <w:rPr>
          <w:kern w:val="0"/>
          <w:sz w:val="22"/>
          <w:szCs w:val="22"/>
        </w:rPr>
      </w:pPr>
    </w:p>
    <w:p>
      <w:pPr>
        <w:numPr>
          <w:ilvl w:val="0"/>
          <w:numId w:val="11"/>
        </w:numPr>
        <w:rPr>
          <w:kern w:val="0"/>
          <w:sz w:val="22"/>
          <w:szCs w:val="22"/>
        </w:rPr>
      </w:pPr>
      <w:r>
        <w:rPr>
          <w:kern w:val="0"/>
          <w:sz w:val="22"/>
          <w:szCs w:val="22"/>
        </w:rPr>
        <w:t>主机操作系统：Win10；射频接口类型：</w:t>
      </w:r>
      <w:r>
        <w:rPr>
          <w:sz w:val="20"/>
          <w:szCs w:val="20"/>
        </w:rPr>
        <w:t xml:space="preserve">3.5mm male </w:t>
      </w:r>
    </w:p>
    <w:p>
      <w:pPr>
        <w:numPr>
          <w:ilvl w:val="0"/>
          <w:numId w:val="11"/>
        </w:numPr>
        <w:rPr>
          <w:kern w:val="0"/>
          <w:sz w:val="22"/>
          <w:szCs w:val="22"/>
        </w:rPr>
      </w:pPr>
      <w:r>
        <w:rPr>
          <w:kern w:val="0"/>
          <w:sz w:val="22"/>
          <w:szCs w:val="22"/>
        </w:rPr>
        <w:t>USB端口：4个；显示器尺寸：12.1寸触摸屏，1280 X800分辨率</w:t>
      </w:r>
    </w:p>
    <w:p>
      <w:pPr>
        <w:numPr>
          <w:ilvl w:val="0"/>
          <w:numId w:val="11"/>
        </w:numPr>
        <w:rPr>
          <w:kern w:val="0"/>
          <w:sz w:val="22"/>
          <w:szCs w:val="22"/>
        </w:rPr>
      </w:pPr>
      <w:r>
        <w:rPr>
          <w:color w:val="FF0000"/>
          <w:kern w:val="0"/>
          <w:sz w:val="22"/>
          <w:szCs w:val="22"/>
        </w:rPr>
        <w:t>▲</w:t>
      </w:r>
      <w:r>
        <w:rPr>
          <w:kern w:val="0"/>
          <w:sz w:val="22"/>
          <w:szCs w:val="22"/>
        </w:rPr>
        <w:t>可以通过升级硬件和相应的软件增加频谱分析仪功能</w:t>
      </w:r>
    </w:p>
    <w:p>
      <w:pPr>
        <w:numPr>
          <w:ilvl w:val="0"/>
          <w:numId w:val="11"/>
        </w:numPr>
        <w:rPr>
          <w:kern w:val="0"/>
          <w:sz w:val="22"/>
          <w:szCs w:val="22"/>
        </w:rPr>
      </w:pPr>
      <w:r>
        <w:rPr>
          <w:rFonts w:ascii="Segoe UI Symbol" w:hAnsi="Segoe UI Symbol" w:cs="Segoe UI Symbol"/>
          <w:color w:val="FF0000"/>
          <w:kern w:val="0"/>
          <w:sz w:val="22"/>
          <w:szCs w:val="22"/>
        </w:rPr>
        <w:t>★</w:t>
      </w:r>
      <w:r>
        <w:rPr>
          <w:kern w:val="0"/>
          <w:sz w:val="22"/>
          <w:szCs w:val="22"/>
        </w:rPr>
        <w:t>提供300KHz-20GHz的4端口的3.5mm电子校准件一套</w:t>
      </w:r>
    </w:p>
    <w:p>
      <w:pPr>
        <w:numPr>
          <w:ilvl w:val="0"/>
          <w:numId w:val="11"/>
        </w:numPr>
        <w:rPr>
          <w:color w:val="000000"/>
          <w:kern w:val="0"/>
          <w:sz w:val="22"/>
          <w:szCs w:val="22"/>
        </w:rPr>
      </w:pPr>
      <w:r>
        <w:rPr>
          <w:rFonts w:ascii="Segoe UI Symbol" w:hAnsi="Segoe UI Symbol" w:cs="Segoe UI Symbol"/>
          <w:color w:val="FF0000"/>
          <w:kern w:val="0"/>
          <w:sz w:val="22"/>
          <w:szCs w:val="22"/>
        </w:rPr>
        <w:t>★</w:t>
      </w:r>
      <w:r>
        <w:rPr>
          <w:color w:val="000000"/>
          <w:kern w:val="0"/>
          <w:sz w:val="22"/>
          <w:szCs w:val="22"/>
        </w:rPr>
        <w:t>电子校准件特性（</w:t>
      </w:r>
      <w:r>
        <w:rPr>
          <w:color w:val="000000"/>
        </w:rPr>
        <w:t>300KH</w:t>
      </w:r>
      <w:r>
        <w:rPr>
          <w:rFonts w:hint="eastAsia"/>
          <w:color w:val="000000"/>
        </w:rPr>
        <w:t>z</w:t>
      </w:r>
      <w:r>
        <w:rPr>
          <w:color w:val="000000"/>
        </w:rPr>
        <w:t xml:space="preserve"> to 10MHz</w:t>
      </w:r>
      <w:r>
        <w:rPr>
          <w:color w:val="000000"/>
          <w:kern w:val="0"/>
          <w:sz w:val="22"/>
          <w:szCs w:val="22"/>
        </w:rPr>
        <w:t>）：</w:t>
      </w:r>
    </w:p>
    <w:p>
      <w:pPr>
        <w:ind w:left="420"/>
        <w:rPr>
          <w:color w:val="000000"/>
          <w:kern w:val="0"/>
          <w:sz w:val="22"/>
          <w:szCs w:val="22"/>
        </w:rPr>
      </w:pPr>
      <w:r>
        <w:rPr>
          <w:color w:val="000000"/>
          <w:kern w:val="0"/>
          <w:sz w:val="22"/>
          <w:szCs w:val="22"/>
        </w:rPr>
        <w:t>方向性（dB）：</w:t>
      </w:r>
      <w:r>
        <w:rPr>
          <w:kern w:val="0"/>
          <w:sz w:val="22"/>
          <w:szCs w:val="22"/>
        </w:rPr>
        <w:t>≤</w:t>
      </w:r>
      <w:r>
        <w:rPr>
          <w:color w:val="000000"/>
          <w:kern w:val="0"/>
          <w:sz w:val="22"/>
          <w:szCs w:val="22"/>
        </w:rPr>
        <w:t>45</w:t>
      </w:r>
    </w:p>
    <w:p>
      <w:pPr>
        <w:ind w:left="420"/>
        <w:rPr>
          <w:color w:val="000000"/>
          <w:kern w:val="0"/>
          <w:sz w:val="22"/>
          <w:szCs w:val="22"/>
        </w:rPr>
      </w:pPr>
      <w:r>
        <w:rPr>
          <w:color w:val="000000"/>
          <w:kern w:val="0"/>
          <w:sz w:val="22"/>
          <w:szCs w:val="22"/>
        </w:rPr>
        <w:t>源匹配（dB）：</w:t>
      </w:r>
      <w:r>
        <w:rPr>
          <w:kern w:val="0"/>
          <w:sz w:val="22"/>
          <w:szCs w:val="22"/>
        </w:rPr>
        <w:t>≤</w:t>
      </w:r>
      <w:r>
        <w:rPr>
          <w:color w:val="000000"/>
          <w:kern w:val="0"/>
          <w:sz w:val="22"/>
          <w:szCs w:val="22"/>
        </w:rPr>
        <w:t>36</w:t>
      </w:r>
    </w:p>
    <w:p>
      <w:pPr>
        <w:ind w:left="420"/>
        <w:rPr>
          <w:color w:val="000000"/>
          <w:kern w:val="0"/>
          <w:sz w:val="22"/>
          <w:szCs w:val="22"/>
        </w:rPr>
      </w:pPr>
      <w:r>
        <w:rPr>
          <w:color w:val="000000"/>
          <w:kern w:val="0"/>
          <w:sz w:val="22"/>
          <w:szCs w:val="22"/>
        </w:rPr>
        <w:t>反射轨迹（dB）：</w:t>
      </w:r>
      <w:r>
        <w:rPr>
          <w:kern w:val="0"/>
          <w:sz w:val="22"/>
          <w:szCs w:val="22"/>
        </w:rPr>
        <w:t>≤</w:t>
      </w:r>
      <w:r>
        <w:rPr>
          <w:color w:val="000000"/>
          <w:kern w:val="0"/>
          <w:sz w:val="22"/>
          <w:szCs w:val="22"/>
        </w:rPr>
        <w:t>0.10</w:t>
      </w:r>
    </w:p>
    <w:p>
      <w:pPr>
        <w:ind w:left="420"/>
        <w:rPr>
          <w:color w:val="000000"/>
          <w:kern w:val="0"/>
          <w:sz w:val="22"/>
          <w:szCs w:val="22"/>
        </w:rPr>
      </w:pPr>
      <w:r>
        <w:rPr>
          <w:color w:val="000000"/>
          <w:kern w:val="0"/>
          <w:sz w:val="22"/>
          <w:szCs w:val="22"/>
        </w:rPr>
        <w:t>传输轨迹（dB）：</w:t>
      </w:r>
      <w:r>
        <w:rPr>
          <w:kern w:val="0"/>
          <w:sz w:val="22"/>
          <w:szCs w:val="22"/>
        </w:rPr>
        <w:t>≤</w:t>
      </w:r>
      <w:r>
        <w:rPr>
          <w:color w:val="000000"/>
          <w:kern w:val="0"/>
          <w:sz w:val="22"/>
          <w:szCs w:val="22"/>
        </w:rPr>
        <w:t>0.18</w:t>
      </w:r>
    </w:p>
    <w:p>
      <w:pPr>
        <w:rPr>
          <w:color w:val="000000"/>
          <w:kern w:val="0"/>
          <w:sz w:val="22"/>
          <w:szCs w:val="22"/>
        </w:rPr>
      </w:pPr>
      <w:r>
        <w:rPr>
          <w:color w:val="000000"/>
          <w:kern w:val="0"/>
          <w:sz w:val="22"/>
          <w:szCs w:val="22"/>
        </w:rPr>
        <w:t xml:space="preserve">    负载匹配（dB）：</w:t>
      </w:r>
      <w:r>
        <w:rPr>
          <w:kern w:val="0"/>
          <w:sz w:val="22"/>
          <w:szCs w:val="22"/>
        </w:rPr>
        <w:t>≤</w:t>
      </w:r>
      <w:r>
        <w:rPr>
          <w:color w:val="000000"/>
          <w:kern w:val="0"/>
          <w:sz w:val="22"/>
          <w:szCs w:val="22"/>
        </w:rPr>
        <w:t>35</w:t>
      </w:r>
    </w:p>
    <w:p>
      <w:pPr>
        <w:numPr>
          <w:ilvl w:val="0"/>
          <w:numId w:val="11"/>
        </w:numPr>
        <w:rPr>
          <w:color w:val="000000"/>
          <w:kern w:val="0"/>
          <w:sz w:val="22"/>
          <w:szCs w:val="22"/>
        </w:rPr>
      </w:pPr>
      <w:r>
        <w:rPr>
          <w:rFonts w:ascii="Segoe UI Symbol" w:hAnsi="Segoe UI Symbol" w:cs="Segoe UI Symbol"/>
          <w:color w:val="FF0000"/>
          <w:kern w:val="0"/>
          <w:sz w:val="22"/>
          <w:szCs w:val="22"/>
        </w:rPr>
        <w:t>★</w:t>
      </w:r>
      <w:r>
        <w:rPr>
          <w:color w:val="000000"/>
          <w:kern w:val="0"/>
          <w:sz w:val="22"/>
          <w:szCs w:val="22"/>
        </w:rPr>
        <w:t>电子校准件特性（</w:t>
      </w:r>
      <w:r>
        <w:rPr>
          <w:color w:val="000000"/>
        </w:rPr>
        <w:t>13.5GH</w:t>
      </w:r>
      <w:r>
        <w:rPr>
          <w:rFonts w:hint="eastAsia"/>
          <w:color w:val="000000"/>
        </w:rPr>
        <w:t>z</w:t>
      </w:r>
      <w:r>
        <w:rPr>
          <w:color w:val="000000"/>
        </w:rPr>
        <w:t xml:space="preserve"> to 20 GHz</w:t>
      </w:r>
      <w:r>
        <w:rPr>
          <w:color w:val="000000"/>
          <w:kern w:val="0"/>
          <w:sz w:val="22"/>
          <w:szCs w:val="22"/>
        </w:rPr>
        <w:t>）：</w:t>
      </w:r>
    </w:p>
    <w:p>
      <w:pPr>
        <w:ind w:left="420"/>
        <w:rPr>
          <w:color w:val="000000"/>
          <w:kern w:val="0"/>
          <w:sz w:val="22"/>
          <w:szCs w:val="22"/>
        </w:rPr>
      </w:pPr>
      <w:r>
        <w:rPr>
          <w:color w:val="000000"/>
          <w:kern w:val="0"/>
          <w:sz w:val="22"/>
          <w:szCs w:val="22"/>
        </w:rPr>
        <w:t>方向性（dB）：</w:t>
      </w:r>
      <w:r>
        <w:rPr>
          <w:kern w:val="0"/>
          <w:sz w:val="22"/>
          <w:szCs w:val="22"/>
        </w:rPr>
        <w:t>≤</w:t>
      </w:r>
      <w:r>
        <w:rPr>
          <w:color w:val="000000"/>
          <w:kern w:val="0"/>
          <w:sz w:val="22"/>
          <w:szCs w:val="22"/>
        </w:rPr>
        <w:t>40</w:t>
      </w:r>
    </w:p>
    <w:p>
      <w:pPr>
        <w:ind w:left="420"/>
        <w:rPr>
          <w:color w:val="000000"/>
          <w:kern w:val="0"/>
          <w:sz w:val="22"/>
          <w:szCs w:val="22"/>
        </w:rPr>
      </w:pPr>
      <w:r>
        <w:rPr>
          <w:color w:val="000000"/>
          <w:kern w:val="0"/>
          <w:sz w:val="22"/>
          <w:szCs w:val="22"/>
        </w:rPr>
        <w:t>源匹配（dB）：</w:t>
      </w:r>
      <w:r>
        <w:rPr>
          <w:kern w:val="0"/>
          <w:sz w:val="22"/>
          <w:szCs w:val="22"/>
        </w:rPr>
        <w:t>≤</w:t>
      </w:r>
      <w:r>
        <w:rPr>
          <w:color w:val="000000"/>
          <w:kern w:val="0"/>
          <w:sz w:val="22"/>
          <w:szCs w:val="22"/>
        </w:rPr>
        <w:t>31</w:t>
      </w:r>
    </w:p>
    <w:p>
      <w:pPr>
        <w:ind w:left="420"/>
        <w:rPr>
          <w:color w:val="000000"/>
          <w:kern w:val="0"/>
          <w:sz w:val="22"/>
          <w:szCs w:val="22"/>
        </w:rPr>
      </w:pPr>
      <w:r>
        <w:rPr>
          <w:color w:val="000000"/>
          <w:kern w:val="0"/>
          <w:sz w:val="22"/>
          <w:szCs w:val="22"/>
        </w:rPr>
        <w:t>反射轨迹（dB）：</w:t>
      </w:r>
      <w:r>
        <w:rPr>
          <w:kern w:val="0"/>
          <w:sz w:val="22"/>
          <w:szCs w:val="22"/>
        </w:rPr>
        <w:t>≤</w:t>
      </w:r>
      <w:r>
        <w:rPr>
          <w:color w:val="000000"/>
          <w:kern w:val="0"/>
          <w:sz w:val="22"/>
          <w:szCs w:val="22"/>
        </w:rPr>
        <w:t>0.18</w:t>
      </w:r>
    </w:p>
    <w:p>
      <w:pPr>
        <w:ind w:left="420"/>
        <w:rPr>
          <w:color w:val="000000"/>
          <w:kern w:val="0"/>
          <w:sz w:val="22"/>
          <w:szCs w:val="22"/>
        </w:rPr>
      </w:pPr>
      <w:r>
        <w:rPr>
          <w:color w:val="000000"/>
          <w:kern w:val="0"/>
          <w:sz w:val="22"/>
          <w:szCs w:val="22"/>
        </w:rPr>
        <w:t>传输轨迹（dB）：</w:t>
      </w:r>
      <w:r>
        <w:rPr>
          <w:kern w:val="0"/>
          <w:sz w:val="22"/>
          <w:szCs w:val="22"/>
        </w:rPr>
        <w:t>≤</w:t>
      </w:r>
      <w:r>
        <w:rPr>
          <w:color w:val="000000"/>
          <w:kern w:val="0"/>
          <w:sz w:val="22"/>
          <w:szCs w:val="22"/>
        </w:rPr>
        <w:t>0.23</w:t>
      </w:r>
    </w:p>
    <w:p>
      <w:pPr>
        <w:rPr>
          <w:color w:val="000000"/>
          <w:kern w:val="0"/>
          <w:sz w:val="22"/>
          <w:szCs w:val="22"/>
        </w:rPr>
      </w:pPr>
      <w:r>
        <w:rPr>
          <w:color w:val="000000"/>
          <w:kern w:val="0"/>
          <w:sz w:val="22"/>
          <w:szCs w:val="22"/>
        </w:rPr>
        <w:t xml:space="preserve">    负载匹配（dB）：</w:t>
      </w:r>
      <w:r>
        <w:rPr>
          <w:kern w:val="0"/>
          <w:sz w:val="22"/>
          <w:szCs w:val="22"/>
        </w:rPr>
        <w:t>≤</w:t>
      </w:r>
      <w:r>
        <w:rPr>
          <w:color w:val="000000"/>
          <w:kern w:val="0"/>
          <w:sz w:val="22"/>
          <w:szCs w:val="22"/>
        </w:rPr>
        <w:t>32</w:t>
      </w:r>
    </w:p>
    <w:p>
      <w:pPr>
        <w:numPr>
          <w:ilvl w:val="0"/>
          <w:numId w:val="11"/>
        </w:numPr>
        <w:rPr>
          <w:kern w:val="0"/>
          <w:sz w:val="22"/>
          <w:szCs w:val="22"/>
        </w:rPr>
      </w:pPr>
      <w:r>
        <w:rPr>
          <w:rFonts w:ascii="Segoe UI Symbol" w:hAnsi="Segoe UI Symbol" w:cs="Segoe UI Symbol"/>
          <w:color w:val="FF0000"/>
          <w:kern w:val="0"/>
          <w:sz w:val="22"/>
          <w:szCs w:val="22"/>
        </w:rPr>
        <w:t>★</w:t>
      </w:r>
      <w:r>
        <w:rPr>
          <w:kern w:val="0"/>
          <w:sz w:val="22"/>
          <w:szCs w:val="22"/>
        </w:rPr>
        <w:t>提供Test port cable, 3ft, 3.5 mm (m-f)测试线缆4根</w:t>
      </w:r>
    </w:p>
    <w:p>
      <w:pPr>
        <w:numPr>
          <w:ilvl w:val="0"/>
          <w:numId w:val="11"/>
        </w:numPr>
        <w:rPr>
          <w:color w:val="000000"/>
          <w:kern w:val="0"/>
          <w:sz w:val="22"/>
          <w:szCs w:val="22"/>
        </w:rPr>
      </w:pPr>
      <w:r>
        <w:rPr>
          <w:rFonts w:ascii="Segoe UI Symbol" w:hAnsi="Segoe UI Symbol" w:cs="Segoe UI Symbol"/>
          <w:color w:val="FF0000"/>
          <w:kern w:val="0"/>
          <w:sz w:val="22"/>
          <w:szCs w:val="22"/>
        </w:rPr>
        <w:t>★</w:t>
      </w:r>
      <w:r>
        <w:rPr>
          <w:color w:val="000000"/>
          <w:kern w:val="0"/>
          <w:sz w:val="22"/>
          <w:szCs w:val="22"/>
        </w:rPr>
        <w:t>矢量网络分析仪和电子校准件必须为同一品牌</w:t>
      </w:r>
    </w:p>
    <w:p>
      <w:pPr>
        <w:numPr>
          <w:ilvl w:val="0"/>
          <w:numId w:val="11"/>
        </w:numPr>
        <w:rPr>
          <w:color w:val="000000"/>
          <w:kern w:val="0"/>
          <w:sz w:val="22"/>
          <w:szCs w:val="22"/>
        </w:rPr>
      </w:pPr>
      <w:r>
        <w:rPr>
          <w:rFonts w:ascii="Segoe UI Symbol" w:hAnsi="Segoe UI Symbol" w:cs="Segoe UI Symbol"/>
          <w:color w:val="FF0000"/>
          <w:kern w:val="0"/>
          <w:sz w:val="22"/>
          <w:szCs w:val="22"/>
        </w:rPr>
        <w:t>★</w:t>
      </w:r>
      <w:r>
        <w:rPr>
          <w:color w:val="000000"/>
          <w:kern w:val="0"/>
          <w:sz w:val="22"/>
          <w:szCs w:val="22"/>
        </w:rPr>
        <w:t>到货提供原厂工程师安装培训</w:t>
      </w:r>
    </w:p>
    <w:p>
      <w:pPr>
        <w:widowControl/>
        <w:jc w:val="left"/>
        <w:rPr>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8"/>
          <w:jc w:val="center"/>
        </w:pPr>
        <w:r>
          <w:fldChar w:fldCharType="begin"/>
        </w:r>
        <w:r>
          <w:instrText xml:space="preserve"> PAGE   \* MERGEFORMAT </w:instrText>
        </w:r>
        <w:r>
          <w:fldChar w:fldCharType="separate"/>
        </w:r>
        <w:r>
          <w:rPr>
            <w:lang w:val="zh-CN"/>
          </w:rPr>
          <w:t>25</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0">
    <w:nsid w:val="7B8B5104"/>
    <w:multiLevelType w:val="multilevel"/>
    <w:tmpl w:val="7B8B5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8"/>
  </w:num>
  <w:num w:numId="3">
    <w:abstractNumId w:val="4"/>
  </w:num>
  <w:num w:numId="4">
    <w:abstractNumId w:val="6"/>
  </w:num>
  <w:num w:numId="5">
    <w:abstractNumId w:val="9"/>
  </w:num>
  <w:num w:numId="6">
    <w:abstractNumId w:val="5"/>
  </w:num>
  <w:num w:numId="7">
    <w:abstractNumId w:val="2"/>
  </w:num>
  <w:num w:numId="8">
    <w:abstractNumId w:val="1"/>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2D"/>
    <w:rsid w:val="00026E42"/>
    <w:rsid w:val="0007006A"/>
    <w:rsid w:val="00080244"/>
    <w:rsid w:val="000A473E"/>
    <w:rsid w:val="000A66D6"/>
    <w:rsid w:val="000C69D6"/>
    <w:rsid w:val="000D16EE"/>
    <w:rsid w:val="000F3864"/>
    <w:rsid w:val="00111B2D"/>
    <w:rsid w:val="00125724"/>
    <w:rsid w:val="001301B5"/>
    <w:rsid w:val="0013555B"/>
    <w:rsid w:val="00143854"/>
    <w:rsid w:val="00162689"/>
    <w:rsid w:val="00163D07"/>
    <w:rsid w:val="001834FA"/>
    <w:rsid w:val="001A4686"/>
    <w:rsid w:val="001A4692"/>
    <w:rsid w:val="001A5CE4"/>
    <w:rsid w:val="001B3020"/>
    <w:rsid w:val="001F0072"/>
    <w:rsid w:val="001F4078"/>
    <w:rsid w:val="001F41D1"/>
    <w:rsid w:val="001F7C42"/>
    <w:rsid w:val="00202179"/>
    <w:rsid w:val="002024AD"/>
    <w:rsid w:val="00205C91"/>
    <w:rsid w:val="00221BBE"/>
    <w:rsid w:val="00222AA8"/>
    <w:rsid w:val="002525A9"/>
    <w:rsid w:val="002577C3"/>
    <w:rsid w:val="00271E4F"/>
    <w:rsid w:val="002B342F"/>
    <w:rsid w:val="002D63AE"/>
    <w:rsid w:val="003156F5"/>
    <w:rsid w:val="00357598"/>
    <w:rsid w:val="00363E7F"/>
    <w:rsid w:val="003952B5"/>
    <w:rsid w:val="003A7214"/>
    <w:rsid w:val="003B5EF3"/>
    <w:rsid w:val="003D0806"/>
    <w:rsid w:val="003E17BF"/>
    <w:rsid w:val="00401E7C"/>
    <w:rsid w:val="00404174"/>
    <w:rsid w:val="004443A9"/>
    <w:rsid w:val="004443D5"/>
    <w:rsid w:val="00454B35"/>
    <w:rsid w:val="00466E9E"/>
    <w:rsid w:val="0049546C"/>
    <w:rsid w:val="004C7976"/>
    <w:rsid w:val="004D57DC"/>
    <w:rsid w:val="004F204B"/>
    <w:rsid w:val="004F2137"/>
    <w:rsid w:val="004F63B0"/>
    <w:rsid w:val="00501B15"/>
    <w:rsid w:val="0050790C"/>
    <w:rsid w:val="00515C0E"/>
    <w:rsid w:val="00592E5C"/>
    <w:rsid w:val="00596EFC"/>
    <w:rsid w:val="005D0327"/>
    <w:rsid w:val="005E39D7"/>
    <w:rsid w:val="00607AB4"/>
    <w:rsid w:val="006216EC"/>
    <w:rsid w:val="00654D85"/>
    <w:rsid w:val="00654FC4"/>
    <w:rsid w:val="006600C4"/>
    <w:rsid w:val="00666B09"/>
    <w:rsid w:val="006728FA"/>
    <w:rsid w:val="006729E0"/>
    <w:rsid w:val="00675A1F"/>
    <w:rsid w:val="00685851"/>
    <w:rsid w:val="006B03C3"/>
    <w:rsid w:val="006C7A9B"/>
    <w:rsid w:val="006D1705"/>
    <w:rsid w:val="006D5CCA"/>
    <w:rsid w:val="006F1BDE"/>
    <w:rsid w:val="007239BC"/>
    <w:rsid w:val="00724054"/>
    <w:rsid w:val="00755545"/>
    <w:rsid w:val="00756C6B"/>
    <w:rsid w:val="00773419"/>
    <w:rsid w:val="00786041"/>
    <w:rsid w:val="007B6902"/>
    <w:rsid w:val="007F060F"/>
    <w:rsid w:val="0083518E"/>
    <w:rsid w:val="008B7766"/>
    <w:rsid w:val="008C0304"/>
    <w:rsid w:val="008E5357"/>
    <w:rsid w:val="008E7952"/>
    <w:rsid w:val="008F1619"/>
    <w:rsid w:val="008F7026"/>
    <w:rsid w:val="00926E68"/>
    <w:rsid w:val="00977991"/>
    <w:rsid w:val="00985BB9"/>
    <w:rsid w:val="00986620"/>
    <w:rsid w:val="00987B37"/>
    <w:rsid w:val="009A147A"/>
    <w:rsid w:val="009B120D"/>
    <w:rsid w:val="009B24A1"/>
    <w:rsid w:val="009B2FE6"/>
    <w:rsid w:val="009E4FB8"/>
    <w:rsid w:val="009F56ED"/>
    <w:rsid w:val="00A01309"/>
    <w:rsid w:val="00A20425"/>
    <w:rsid w:val="00A33A9C"/>
    <w:rsid w:val="00A344A9"/>
    <w:rsid w:val="00A40C44"/>
    <w:rsid w:val="00A47D6B"/>
    <w:rsid w:val="00A51BCE"/>
    <w:rsid w:val="00A76D5B"/>
    <w:rsid w:val="00A9547E"/>
    <w:rsid w:val="00AB32FA"/>
    <w:rsid w:val="00AE539C"/>
    <w:rsid w:val="00AE5D17"/>
    <w:rsid w:val="00AF6147"/>
    <w:rsid w:val="00B2170A"/>
    <w:rsid w:val="00B777BC"/>
    <w:rsid w:val="00B91FDD"/>
    <w:rsid w:val="00BE4315"/>
    <w:rsid w:val="00C21064"/>
    <w:rsid w:val="00C3212D"/>
    <w:rsid w:val="00C331B9"/>
    <w:rsid w:val="00C37374"/>
    <w:rsid w:val="00C574EF"/>
    <w:rsid w:val="00C57FE6"/>
    <w:rsid w:val="00CF7445"/>
    <w:rsid w:val="00D219A2"/>
    <w:rsid w:val="00D2251F"/>
    <w:rsid w:val="00D26206"/>
    <w:rsid w:val="00D54DBB"/>
    <w:rsid w:val="00D81E10"/>
    <w:rsid w:val="00D862E1"/>
    <w:rsid w:val="00D92252"/>
    <w:rsid w:val="00D951AF"/>
    <w:rsid w:val="00DD0133"/>
    <w:rsid w:val="00DF3EDC"/>
    <w:rsid w:val="00E17D65"/>
    <w:rsid w:val="00E352C8"/>
    <w:rsid w:val="00E374FB"/>
    <w:rsid w:val="00E428EC"/>
    <w:rsid w:val="00E57DF0"/>
    <w:rsid w:val="00E758C5"/>
    <w:rsid w:val="00EA7473"/>
    <w:rsid w:val="00EC6923"/>
    <w:rsid w:val="00EE17BD"/>
    <w:rsid w:val="00EE1B72"/>
    <w:rsid w:val="00EE574B"/>
    <w:rsid w:val="00EE7C8F"/>
    <w:rsid w:val="00EF6FE7"/>
    <w:rsid w:val="00F072CB"/>
    <w:rsid w:val="00F32034"/>
    <w:rsid w:val="00F7697C"/>
    <w:rsid w:val="00F86D5A"/>
    <w:rsid w:val="00FA1F35"/>
    <w:rsid w:val="00FA57DF"/>
    <w:rsid w:val="00FF5F77"/>
    <w:rsid w:val="02CD095B"/>
    <w:rsid w:val="03CE29EE"/>
    <w:rsid w:val="06111F76"/>
    <w:rsid w:val="0A7E7906"/>
    <w:rsid w:val="0BE03768"/>
    <w:rsid w:val="0BF31554"/>
    <w:rsid w:val="0C9F322F"/>
    <w:rsid w:val="0DE5021F"/>
    <w:rsid w:val="1054421D"/>
    <w:rsid w:val="124C124F"/>
    <w:rsid w:val="12841D14"/>
    <w:rsid w:val="12B341EA"/>
    <w:rsid w:val="14DA42F1"/>
    <w:rsid w:val="153F4078"/>
    <w:rsid w:val="182C509A"/>
    <w:rsid w:val="19DC45B9"/>
    <w:rsid w:val="1CD91C97"/>
    <w:rsid w:val="1FC856F7"/>
    <w:rsid w:val="213304E0"/>
    <w:rsid w:val="218D543C"/>
    <w:rsid w:val="261418AC"/>
    <w:rsid w:val="262554A0"/>
    <w:rsid w:val="299A5204"/>
    <w:rsid w:val="2ADA0F0C"/>
    <w:rsid w:val="2D126148"/>
    <w:rsid w:val="2DA57A2F"/>
    <w:rsid w:val="2DDB6773"/>
    <w:rsid w:val="2E18449A"/>
    <w:rsid w:val="2EA64C67"/>
    <w:rsid w:val="2ED71E23"/>
    <w:rsid w:val="2FE50145"/>
    <w:rsid w:val="310F4F7A"/>
    <w:rsid w:val="326B7E8B"/>
    <w:rsid w:val="3375635B"/>
    <w:rsid w:val="34826751"/>
    <w:rsid w:val="35570C1E"/>
    <w:rsid w:val="36D36FF4"/>
    <w:rsid w:val="376357E1"/>
    <w:rsid w:val="380A3047"/>
    <w:rsid w:val="39F4487A"/>
    <w:rsid w:val="3ABA67BF"/>
    <w:rsid w:val="3E357A0D"/>
    <w:rsid w:val="40EF77EF"/>
    <w:rsid w:val="43E942BE"/>
    <w:rsid w:val="43F57D28"/>
    <w:rsid w:val="441473E3"/>
    <w:rsid w:val="483B62A9"/>
    <w:rsid w:val="4A8D603B"/>
    <w:rsid w:val="4B6B5642"/>
    <w:rsid w:val="4E5B1318"/>
    <w:rsid w:val="4F4B7F6C"/>
    <w:rsid w:val="50275A13"/>
    <w:rsid w:val="50F32807"/>
    <w:rsid w:val="5152568B"/>
    <w:rsid w:val="536B6672"/>
    <w:rsid w:val="554C18B3"/>
    <w:rsid w:val="571031C9"/>
    <w:rsid w:val="57392AF0"/>
    <w:rsid w:val="578B162C"/>
    <w:rsid w:val="5A6F4ABB"/>
    <w:rsid w:val="5C0A558A"/>
    <w:rsid w:val="5DD01792"/>
    <w:rsid w:val="61264F5A"/>
    <w:rsid w:val="62170FA9"/>
    <w:rsid w:val="65665DBA"/>
    <w:rsid w:val="65B91FD2"/>
    <w:rsid w:val="67590123"/>
    <w:rsid w:val="699924A6"/>
    <w:rsid w:val="6A6A1446"/>
    <w:rsid w:val="6BE76F67"/>
    <w:rsid w:val="6C371214"/>
    <w:rsid w:val="6D82743B"/>
    <w:rsid w:val="6E7A72C6"/>
    <w:rsid w:val="6EB56E53"/>
    <w:rsid w:val="73994F5F"/>
    <w:rsid w:val="76A7334B"/>
    <w:rsid w:val="776677DD"/>
    <w:rsid w:val="77F444EC"/>
    <w:rsid w:val="78574106"/>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5">
    <w:name w:val="Plain Text"/>
    <w:basedOn w:val="1"/>
    <w:link w:val="15"/>
    <w:qFormat/>
    <w:uiPriority w:val="0"/>
    <w:rPr>
      <w:rFonts w:ascii="宋体" w:hAnsi="Courier New" w:cs="Courier New"/>
      <w:szCs w:val="21"/>
    </w:rPr>
  </w:style>
  <w:style w:type="paragraph" w:styleId="6">
    <w:name w:val="Body Text Indent 2"/>
    <w:basedOn w:val="1"/>
    <w:link w:val="16"/>
    <w:unhideWhenUsed/>
    <w:qFormat/>
    <w:uiPriority w:val="0"/>
    <w:pPr>
      <w:spacing w:after="120" w:line="480" w:lineRule="auto"/>
      <w:ind w:left="420" w:leftChars="200"/>
    </w:pPr>
  </w:style>
  <w:style w:type="paragraph" w:styleId="7">
    <w:name w:val="Balloon Text"/>
    <w:basedOn w:val="1"/>
    <w:link w:val="23"/>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36" w:after="68"/>
      <w:jc w:val="left"/>
    </w:pPr>
    <w:rPr>
      <w:rFonts w:ascii="Verdana" w:hAnsi="Verdana" w:cs="宋体"/>
      <w:color w:val="333333"/>
      <w:kern w:val="0"/>
      <w:sz w:val="16"/>
      <w:szCs w:val="16"/>
    </w:rPr>
  </w:style>
  <w:style w:type="character" w:styleId="13">
    <w:name w:val="Hyperlink"/>
    <w:basedOn w:val="12"/>
    <w:unhideWhenUsed/>
    <w:qFormat/>
    <w:uiPriority w:val="99"/>
    <w:rPr>
      <w:color w:val="0000FF"/>
      <w:u w:val="single"/>
    </w:rPr>
  </w:style>
  <w:style w:type="character" w:customStyle="1" w:styleId="14">
    <w:name w:val="标题 1 字符"/>
    <w:basedOn w:val="12"/>
    <w:link w:val="2"/>
    <w:qFormat/>
    <w:uiPriority w:val="99"/>
    <w:rPr>
      <w:rFonts w:ascii="宋体" w:hAnsi="Times New Roman" w:eastAsia="宋体" w:cs="Times New Roman"/>
      <w:b/>
      <w:kern w:val="44"/>
      <w:sz w:val="32"/>
      <w:szCs w:val="20"/>
    </w:rPr>
  </w:style>
  <w:style w:type="character" w:customStyle="1" w:styleId="15">
    <w:name w:val="纯文本 字符"/>
    <w:basedOn w:val="12"/>
    <w:link w:val="5"/>
    <w:qFormat/>
    <w:uiPriority w:val="0"/>
    <w:rPr>
      <w:rFonts w:ascii="宋体" w:hAnsi="Courier New" w:eastAsia="宋体" w:cs="Courier New"/>
      <w:szCs w:val="21"/>
    </w:rPr>
  </w:style>
  <w:style w:type="character" w:customStyle="1" w:styleId="16">
    <w:name w:val="正文文本缩进 2 字符"/>
    <w:basedOn w:val="12"/>
    <w:link w:val="6"/>
    <w:qFormat/>
    <w:uiPriority w:val="0"/>
    <w:rPr>
      <w:rFonts w:ascii="Times New Roman" w:hAnsi="Times New Roman" w:eastAsia="宋体" w:cs="Times New Roman"/>
      <w:szCs w:val="24"/>
    </w:rPr>
  </w:style>
  <w:style w:type="character" w:customStyle="1" w:styleId="17">
    <w:name w:val="页脚 字符"/>
    <w:basedOn w:val="12"/>
    <w:link w:val="8"/>
    <w:qFormat/>
    <w:uiPriority w:val="99"/>
    <w:rPr>
      <w:rFonts w:ascii="Times New Roman" w:hAnsi="Times New Roman" w:eastAsia="宋体" w:cs="Times New Roman"/>
      <w:sz w:val="18"/>
      <w:szCs w:val="18"/>
    </w:rPr>
  </w:style>
  <w:style w:type="character" w:customStyle="1" w:styleId="18">
    <w:name w:val="页眉 字符"/>
    <w:basedOn w:val="12"/>
    <w:link w:val="9"/>
    <w:qFormat/>
    <w:uiPriority w:val="99"/>
    <w:rPr>
      <w:rFonts w:ascii="Times New Roman" w:hAnsi="Times New Roman" w:eastAsia="宋体" w:cs="Times New Roman"/>
      <w:sz w:val="18"/>
      <w:szCs w:val="18"/>
    </w:rPr>
  </w:style>
  <w:style w:type="paragraph" w:customStyle="1" w:styleId="19">
    <w:name w:val="列出段落1"/>
    <w:basedOn w:val="1"/>
    <w:qFormat/>
    <w:uiPriority w:val="34"/>
    <w:pPr>
      <w:ind w:firstLine="420" w:firstLineChars="200"/>
    </w:pPr>
  </w:style>
  <w:style w:type="paragraph" w:customStyle="1" w:styleId="20">
    <w:name w:val="样式1"/>
    <w:basedOn w:val="5"/>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1">
    <w:name w:val="p0"/>
    <w:basedOn w:val="1"/>
    <w:qFormat/>
    <w:uiPriority w:val="0"/>
    <w:pPr>
      <w:widowControl/>
    </w:pPr>
    <w:rPr>
      <w:kern w:val="0"/>
      <w:szCs w:val="21"/>
    </w:rPr>
  </w:style>
  <w:style w:type="paragraph" w:styleId="2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3">
    <w:name w:val="批注框文本 字符"/>
    <w:basedOn w:val="12"/>
    <w:link w:val="7"/>
    <w:semiHidden/>
    <w:qFormat/>
    <w:uiPriority w:val="99"/>
    <w:rPr>
      <w:rFonts w:ascii="Times New Roman" w:hAnsi="Times New Roman" w:eastAsia="宋体" w:cs="Times New Roman"/>
      <w:sz w:val="18"/>
      <w:szCs w:val="18"/>
    </w:rPr>
  </w:style>
  <w:style w:type="paragraph" w:customStyle="1" w:styleId="24">
    <w:name w:val="样式3"/>
    <w:basedOn w:val="5"/>
    <w:qFormat/>
    <w:uiPriority w:val="0"/>
    <w:pPr>
      <w:spacing w:line="0" w:lineRule="atLeast"/>
      <w:outlineLvl w:val="0"/>
    </w:pPr>
    <w:rPr>
      <w:rFonts w:cs="Times New Roman"/>
      <w:sz w:val="28"/>
      <w:szCs w:val="24"/>
    </w:rPr>
  </w:style>
  <w:style w:type="character" w:styleId="25">
    <w:name w:val="Placeholder Text"/>
    <w:basedOn w:val="12"/>
    <w:semiHidden/>
    <w:qFormat/>
    <w:uiPriority w:val="99"/>
    <w:rPr>
      <w:color w:val="808080"/>
    </w:rPr>
  </w:style>
  <w:style w:type="character" w:customStyle="1" w:styleId="26">
    <w:name w:val="未处理的提及1"/>
    <w:basedOn w:val="12"/>
    <w:semiHidden/>
    <w:unhideWhenUsed/>
    <w:qFormat/>
    <w:uiPriority w:val="99"/>
    <w:rPr>
      <w:color w:val="605E5C"/>
      <w:shd w:val="clear" w:color="auto" w:fill="E1DFDD"/>
    </w:rPr>
  </w:style>
  <w:style w:type="paragraph" w:customStyle="1" w:styleId="2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38F95-A49B-4F7C-B117-1ECDD9C18ECC}">
  <ds:schemaRefs/>
</ds:datastoreItem>
</file>

<file path=docProps/app.xml><?xml version="1.0" encoding="utf-8"?>
<Properties xmlns="http://schemas.openxmlformats.org/officeDocument/2006/extended-properties" xmlns:vt="http://schemas.openxmlformats.org/officeDocument/2006/docPropsVTypes">
  <Template>Normal</Template>
  <Company>kk</Company>
  <Pages>26</Pages>
  <Words>11614</Words>
  <Characters>12292</Characters>
  <Lines>105</Lines>
  <Paragraphs>29</Paragraphs>
  <TotalTime>1</TotalTime>
  <ScaleCrop>false</ScaleCrop>
  <LinksUpToDate>false</LinksUpToDate>
  <CharactersWithSpaces>13991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2021-04-08T00:57:00Z</dcterms:created>
  <dc:creator>朱水林</dc:creator>
  <cp:lastModifiedBy>李楠</cp:lastModifiedBy>
  <cp:lastPrinted>2021-06-28T01:09:00Z</cp:lastPrinted>
  <dcterms:modified xsi:type="dcterms:W3CDTF">2021-07-07T08:51:11Z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385DC07266B14BF6B989DA607E7D3D43</vt:lpwstr>
  </property>
</Properties>
</file>