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891" w:firstLineChars="800"/>
        <w:rPr>
          <w:rFonts w:ascii="宋体" w:hAnsi="宋体"/>
          <w:b/>
          <w:bCs/>
          <w:sz w:val="36"/>
          <w:szCs w:val="28"/>
        </w:rPr>
      </w:pPr>
      <w:r>
        <w:rPr>
          <w:rFonts w:hint="eastAsia" w:ascii="宋体" w:hAnsi="宋体"/>
          <w:b/>
          <w:bCs/>
          <w:sz w:val="36"/>
          <w:szCs w:val="28"/>
        </w:rPr>
        <w:t>金属电镀系统</w:t>
      </w:r>
    </w:p>
    <w:p>
      <w:pPr>
        <w:ind w:firstLine="1807" w:firstLineChars="5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采购编号： JGYQ-2021TP-</w:t>
      </w:r>
      <w:r>
        <w:rPr>
          <w:rFonts w:ascii="宋体" w:hAnsi="宋体"/>
          <w:b/>
          <w:bCs/>
          <w:sz w:val="36"/>
          <w:szCs w:val="28"/>
        </w:rPr>
        <w:t>111</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ascii="宋体" w:hAnsi="宋体"/>
          <w:b/>
          <w:bCs/>
          <w:sz w:val="28"/>
          <w:szCs w:val="28"/>
        </w:rPr>
        <w:t>11</w:t>
      </w:r>
      <w:r>
        <w:rPr>
          <w:rFonts w:hint="eastAsia" w:ascii="宋体" w:hAnsi="宋体"/>
          <w:b/>
          <w:bCs/>
          <w:sz w:val="28"/>
          <w:szCs w:val="28"/>
        </w:rPr>
        <w:t>月</w:t>
      </w:r>
      <w:r>
        <w:rPr>
          <w:rFonts w:hint="eastAsia" w:ascii="宋体" w:hAnsi="宋体"/>
          <w:b/>
          <w:bCs/>
          <w:sz w:val="28"/>
          <w:szCs w:val="28"/>
          <w:lang w:val="en-US" w:eastAsia="zh-CN"/>
        </w:rPr>
        <w:t>10</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hint="eastAsia" w:ascii="宋体"/>
          <w:b/>
          <w:bCs/>
          <w:sz w:val="28"/>
          <w:szCs w:val="28"/>
          <w:lang w:eastAsia="zh-CN"/>
        </w:rPr>
      </w:pPr>
    </w:p>
    <w:p>
      <w:pPr>
        <w:rPr>
          <w:rFonts w:hint="eastAsia" w:ascii="宋体"/>
          <w:b/>
          <w:bCs/>
          <w:sz w:val="28"/>
          <w:szCs w:val="28"/>
          <w:lang w:eastAsia="zh-CN"/>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金属电镀系统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w:t>
      </w:r>
      <w:r>
        <w:rPr>
          <w:rFonts w:ascii="宋体" w:hAnsi="宋体"/>
          <w:sz w:val="28"/>
          <w:szCs w:val="28"/>
        </w:rPr>
        <w:t>111</w:t>
      </w:r>
    </w:p>
    <w:p>
      <w:pPr>
        <w:numPr>
          <w:ilvl w:val="0"/>
          <w:numId w:val="2"/>
        </w:numPr>
        <w:spacing w:line="360" w:lineRule="auto"/>
        <w:rPr>
          <w:rFonts w:ascii="宋体"/>
          <w:sz w:val="28"/>
          <w:szCs w:val="28"/>
        </w:rPr>
      </w:pPr>
      <w:r>
        <w:rPr>
          <w:rFonts w:hint="eastAsia" w:ascii="宋体" w:hAnsi="宋体"/>
          <w:sz w:val="28"/>
          <w:szCs w:val="28"/>
        </w:rPr>
        <w:t>采购项目：金属电镀系统</w:t>
      </w:r>
    </w:p>
    <w:p>
      <w:pPr>
        <w:numPr>
          <w:ilvl w:val="0"/>
          <w:numId w:val="2"/>
        </w:numPr>
        <w:spacing w:line="360" w:lineRule="auto"/>
        <w:rPr>
          <w:rFonts w:ascii="宋体"/>
          <w:sz w:val="28"/>
          <w:szCs w:val="28"/>
        </w:rPr>
      </w:pPr>
      <w:r>
        <w:rPr>
          <w:rFonts w:hint="eastAsia" w:ascii="宋体" w:hAnsi="宋体"/>
          <w:sz w:val="28"/>
          <w:szCs w:val="28"/>
        </w:rPr>
        <w:t>采购预算：</w:t>
      </w:r>
      <w:r>
        <w:rPr>
          <w:rFonts w:hint="eastAsia"/>
          <w:sz w:val="28"/>
          <w:szCs w:val="28"/>
        </w:rPr>
        <w:t>本项目预算人民币</w:t>
      </w:r>
      <w:bookmarkStart w:id="0" w:name="_Hlk84944309"/>
      <w:r>
        <w:rPr>
          <w:sz w:val="28"/>
          <w:szCs w:val="28"/>
        </w:rPr>
        <w:t>8136</w:t>
      </w:r>
      <w:r>
        <w:rPr>
          <w:rFonts w:hint="eastAsia"/>
          <w:sz w:val="28"/>
          <w:szCs w:val="28"/>
        </w:rPr>
        <w:t>00</w:t>
      </w:r>
      <w:bookmarkEnd w:id="0"/>
      <w:r>
        <w:rPr>
          <w:rFonts w:hint="eastAsia"/>
          <w:sz w:val="28"/>
          <w:szCs w:val="28"/>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rPr>
        <w:t>报价截止和磋商时间：</w:t>
      </w:r>
      <w:r>
        <w:rPr>
          <w:rFonts w:ascii="宋体" w:hAnsi="宋体"/>
          <w:b/>
          <w:sz w:val="28"/>
          <w:szCs w:val="28"/>
          <w:highlight w:val="none"/>
        </w:rPr>
        <w:t>2021</w:t>
      </w:r>
      <w:r>
        <w:rPr>
          <w:rFonts w:hint="eastAsia" w:ascii="宋体" w:hAnsi="宋体"/>
          <w:b/>
          <w:sz w:val="28"/>
          <w:szCs w:val="28"/>
          <w:highlight w:val="none"/>
        </w:rPr>
        <w:t>年1</w:t>
      </w:r>
      <w:r>
        <w:rPr>
          <w:rFonts w:ascii="宋体" w:hAnsi="宋体"/>
          <w:b/>
          <w:sz w:val="28"/>
          <w:szCs w:val="28"/>
          <w:highlight w:val="none"/>
        </w:rPr>
        <w:t>1</w:t>
      </w:r>
      <w:r>
        <w:rPr>
          <w:rFonts w:hint="eastAsia" w:ascii="宋体" w:hAnsi="宋体"/>
          <w:b/>
          <w:sz w:val="28"/>
          <w:szCs w:val="28"/>
          <w:highlight w:val="none"/>
        </w:rPr>
        <w:t>月</w:t>
      </w:r>
      <w:r>
        <w:rPr>
          <w:rFonts w:hint="eastAsia" w:ascii="宋体" w:hAnsi="宋体"/>
          <w:b/>
          <w:sz w:val="28"/>
          <w:szCs w:val="28"/>
          <w:highlight w:val="none"/>
          <w:lang w:val="en-US" w:eastAsia="zh-CN"/>
        </w:rPr>
        <w:t>18</w:t>
      </w:r>
      <w:r>
        <w:rPr>
          <w:rFonts w:hint="eastAsia" w:ascii="宋体" w:hAnsi="宋体"/>
          <w:b/>
          <w:sz w:val="28"/>
          <w:szCs w:val="28"/>
          <w:highlight w:val="none"/>
        </w:rPr>
        <w:t>日下午14：30</w:t>
      </w:r>
    </w:p>
    <w:p>
      <w:pPr>
        <w:numPr>
          <w:ilvl w:val="0"/>
          <w:numId w:val="2"/>
        </w:numPr>
        <w:spacing w:after="100" w:afterAutospacing="1" w:line="360" w:lineRule="auto"/>
        <w:rPr>
          <w:rFonts w:ascii="宋体" w:hAnsi="宋体"/>
          <w:sz w:val="28"/>
          <w:szCs w:val="28"/>
        </w:rPr>
      </w:pPr>
      <w:r>
        <w:rPr>
          <w:rFonts w:hint="eastAsia" w:ascii="宋体" w:hAnsi="宋体"/>
          <w:sz w:val="28"/>
          <w:szCs w:val="28"/>
          <w:highlight w:val="none"/>
        </w:rPr>
        <w:t>报名及磋商文件发售截至时间：报价人必须在</w:t>
      </w:r>
      <w:r>
        <w:rPr>
          <w:rFonts w:ascii="宋体" w:hAnsi="宋体"/>
          <w:sz w:val="28"/>
          <w:szCs w:val="28"/>
          <w:highlight w:val="none"/>
        </w:rPr>
        <w:t>202</w:t>
      </w:r>
      <w:r>
        <w:rPr>
          <w:rFonts w:hint="eastAsia" w:ascii="宋体" w:hAnsi="宋体"/>
          <w:sz w:val="28"/>
          <w:szCs w:val="28"/>
          <w:highlight w:val="none"/>
        </w:rPr>
        <w:t>1年1</w:t>
      </w:r>
      <w:r>
        <w:rPr>
          <w:rFonts w:ascii="宋体" w:hAnsi="宋体"/>
          <w:sz w:val="28"/>
          <w:szCs w:val="28"/>
          <w:highlight w:val="none"/>
        </w:rPr>
        <w:t>1</w:t>
      </w:r>
      <w:r>
        <w:rPr>
          <w:rFonts w:hint="eastAsia" w:ascii="宋体" w:hAnsi="宋体"/>
          <w:sz w:val="28"/>
          <w:szCs w:val="28"/>
          <w:highlight w:val="none"/>
        </w:rPr>
        <w:t>月</w:t>
      </w:r>
      <w:r>
        <w:rPr>
          <w:rFonts w:hint="eastAsia" w:ascii="宋体" w:hAnsi="宋体"/>
          <w:sz w:val="28"/>
          <w:szCs w:val="28"/>
          <w:highlight w:val="none"/>
          <w:lang w:val="en-US" w:eastAsia="zh-CN"/>
        </w:rPr>
        <w:t>17</w:t>
      </w:r>
      <w:r>
        <w:rPr>
          <w:rFonts w:hint="eastAsia" w:ascii="宋体" w:hAnsi="宋体"/>
          <w:sz w:val="28"/>
          <w:szCs w:val="28"/>
          <w:highlight w:val="none"/>
        </w:rPr>
        <w:t>日下午15点前</w:t>
      </w:r>
      <w:r>
        <w:rPr>
          <w:rFonts w:hint="eastAsia" w:ascii="宋体" w:hAnsi="宋体"/>
          <w:sz w:val="28"/>
          <w:szCs w:val="28"/>
        </w:rPr>
        <w:t>（节假日除外），以邮件方式进行报名（详见附件报名函），逾期视为放弃竞标机会。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sz w:val="28"/>
          <w:szCs w:val="28"/>
        </w:rPr>
        <w:t xml:space="preserve"> </w:t>
      </w: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sz w:val="28"/>
          <w:szCs w:val="28"/>
        </w:rPr>
      </w:pPr>
      <w:r>
        <w:rPr>
          <w:rFonts w:hint="eastAsia" w:ascii="宋体" w:hAnsi="宋体"/>
          <w:sz w:val="28"/>
          <w:szCs w:val="28"/>
        </w:rPr>
        <w:t>技术需求方面请联系用户单位</w:t>
      </w:r>
      <w:r>
        <w:rPr>
          <w:rFonts w:hint="eastAsia" w:ascii="宋体" w:hAnsi="宋体"/>
          <w:sz w:val="28"/>
          <w:szCs w:val="28"/>
          <w:lang w:eastAsia="zh-CN"/>
        </w:rPr>
        <w:t>：</w:t>
      </w:r>
      <w:r>
        <w:rPr>
          <w:rFonts w:hint="eastAsia" w:ascii="宋体" w:hAnsi="宋体"/>
          <w:sz w:val="28"/>
          <w:szCs w:val="28"/>
        </w:rPr>
        <w:t xml:space="preserve">陈老师 </w:t>
      </w:r>
      <w:r>
        <w:rPr>
          <w:rFonts w:ascii="宋体" w:hAnsi="宋体"/>
          <w:sz w:val="28"/>
          <w:szCs w:val="28"/>
        </w:rPr>
        <w:t>15396229468</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jc w:val="left"/>
        <w:rPr>
          <w:rFonts w:ascii="宋体" w:hAnsi="宋体"/>
          <w:sz w:val="28"/>
          <w:szCs w:val="28"/>
        </w:rPr>
      </w:pPr>
      <w:r>
        <w:fldChar w:fldCharType="begin"/>
      </w:r>
      <w:r>
        <w:instrText xml:space="preserve"> HYPERLINK "mailto:zyhe@xmu.edu.cn" </w:instrText>
      </w:r>
      <w:r>
        <w:fldChar w:fldCharType="separate"/>
      </w:r>
      <w:r>
        <w:rPr>
          <w:rStyle w:val="17"/>
          <w:rFonts w:ascii="宋体" w:hAnsi="宋体"/>
          <w:sz w:val="28"/>
          <w:szCs w:val="28"/>
        </w:rPr>
        <w:t>zyhe@xmu.edu.cn</w:t>
      </w:r>
      <w:r>
        <w:rPr>
          <w:rStyle w:val="17"/>
          <w:rFonts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w:t>
      </w:r>
      <w:r>
        <w:rPr>
          <w:rFonts w:ascii="宋体" w:hAnsi="宋体"/>
          <w:sz w:val="28"/>
          <w:szCs w:val="28"/>
        </w:rPr>
        <w:t>11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8"/>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8"/>
              <w:spacing w:before="156" w:beforeLines="50" w:after="156" w:afterLines="50"/>
              <w:rPr>
                <w:rFonts w:ascii="宋体" w:hAnsi="宋体" w:eastAsia="宋体"/>
                <w:sz w:val="21"/>
                <w:szCs w:val="28"/>
              </w:rPr>
            </w:pPr>
            <w:r>
              <w:rPr>
                <w:rFonts w:hint="eastAsia" w:ascii="宋体" w:hAnsi="宋体" w:eastAsia="宋体"/>
                <w:sz w:val="21"/>
                <w:szCs w:val="28"/>
                <w:lang w:val="en-US" w:eastAsia="zh-CN"/>
              </w:rPr>
              <w:t>嘉庚创新实验室金属电镀系统</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9"/>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6"/>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6"/>
              <w:tabs>
                <w:tab w:val="left" w:pos="660"/>
              </w:tabs>
              <w:rPr>
                <w:rFonts w:hAnsi="宋体"/>
                <w:bCs/>
              </w:rPr>
            </w:pPr>
            <w:r>
              <w:rPr>
                <w:rFonts w:hint="eastAsia" w:hAnsi="宋体"/>
                <w:bCs/>
              </w:rPr>
              <w:t>1.★投标书；</w:t>
            </w:r>
          </w:p>
          <w:p>
            <w:pPr>
              <w:pStyle w:val="6"/>
              <w:tabs>
                <w:tab w:val="left" w:pos="660"/>
              </w:tabs>
              <w:rPr>
                <w:rFonts w:hAnsi="宋体"/>
                <w:bCs/>
              </w:rPr>
            </w:pPr>
            <w:r>
              <w:rPr>
                <w:rFonts w:hint="eastAsia" w:hAnsi="宋体"/>
                <w:bCs/>
              </w:rPr>
              <w:t>2.★法定代表人授权委托书；</w:t>
            </w:r>
          </w:p>
          <w:p>
            <w:pPr>
              <w:pStyle w:val="6"/>
              <w:tabs>
                <w:tab w:val="left" w:pos="660"/>
              </w:tabs>
              <w:rPr>
                <w:rFonts w:hAnsi="宋体"/>
                <w:bCs/>
              </w:rPr>
            </w:pPr>
            <w:r>
              <w:rPr>
                <w:rFonts w:hint="eastAsia" w:hAnsi="宋体"/>
                <w:bCs/>
              </w:rPr>
              <w:t>3.★营业执照副本复印件，并加盖投标人公章；</w:t>
            </w:r>
          </w:p>
          <w:p>
            <w:pPr>
              <w:pStyle w:val="6"/>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6"/>
              <w:tabs>
                <w:tab w:val="left" w:pos="660"/>
              </w:tabs>
              <w:rPr>
                <w:rFonts w:hAnsi="宋体"/>
                <w:bCs/>
              </w:rPr>
            </w:pPr>
            <w:r>
              <w:rPr>
                <w:rFonts w:hint="eastAsia" w:hAnsi="宋体"/>
                <w:bCs/>
              </w:rPr>
              <w:t>5.★廉政承诺书</w:t>
            </w:r>
          </w:p>
          <w:p>
            <w:pPr>
              <w:pStyle w:val="6"/>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6"/>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6"/>
              <w:tabs>
                <w:tab w:val="left" w:pos="660"/>
              </w:tabs>
              <w:rPr>
                <w:rFonts w:hAnsi="宋体"/>
                <w:bCs/>
              </w:rPr>
            </w:pPr>
            <w:r>
              <w:rPr>
                <w:rFonts w:hint="eastAsia" w:hAnsi="宋体"/>
                <w:bCs/>
              </w:rPr>
              <w:t xml:space="preserve">1.报价一览表； </w:t>
            </w:r>
          </w:p>
          <w:p>
            <w:pPr>
              <w:pStyle w:val="6"/>
              <w:tabs>
                <w:tab w:val="left" w:pos="660"/>
              </w:tabs>
              <w:rPr>
                <w:rFonts w:hAnsi="宋体"/>
                <w:bCs/>
              </w:rPr>
            </w:pPr>
            <w:r>
              <w:rPr>
                <w:rFonts w:hint="eastAsia" w:hAnsi="宋体"/>
                <w:bCs/>
              </w:rPr>
              <w:t>2.报价货物简要说明一览表；</w:t>
            </w:r>
          </w:p>
          <w:p>
            <w:pPr>
              <w:pStyle w:val="6"/>
              <w:tabs>
                <w:tab w:val="left" w:pos="660"/>
              </w:tabs>
              <w:rPr>
                <w:rFonts w:hAnsi="宋体"/>
                <w:bCs/>
              </w:rPr>
            </w:pPr>
            <w:r>
              <w:rPr>
                <w:rFonts w:hint="eastAsia" w:hAnsi="宋体"/>
                <w:bCs/>
              </w:rPr>
              <w:t>3.报价货物技术偏离表；</w:t>
            </w:r>
          </w:p>
          <w:p>
            <w:pPr>
              <w:pStyle w:val="6"/>
              <w:tabs>
                <w:tab w:val="left" w:pos="660"/>
              </w:tabs>
              <w:rPr>
                <w:rFonts w:hAnsi="宋体"/>
                <w:bCs/>
              </w:rPr>
            </w:pPr>
            <w:r>
              <w:rPr>
                <w:rFonts w:hint="eastAsia" w:hAnsi="宋体"/>
                <w:bCs/>
              </w:rPr>
              <w:t>4.勘察报告</w:t>
            </w:r>
          </w:p>
          <w:p>
            <w:pPr>
              <w:pStyle w:val="6"/>
              <w:tabs>
                <w:tab w:val="left" w:pos="660"/>
              </w:tabs>
              <w:rPr>
                <w:rFonts w:hAnsi="宋体"/>
                <w:bCs/>
              </w:rPr>
            </w:pPr>
            <w:r>
              <w:rPr>
                <w:rFonts w:hint="eastAsia" w:hAnsi="宋体"/>
                <w:bCs/>
              </w:rPr>
              <w:t>5.技术方案；</w:t>
            </w:r>
          </w:p>
          <w:p>
            <w:pPr>
              <w:pStyle w:val="6"/>
              <w:tabs>
                <w:tab w:val="left" w:pos="660"/>
              </w:tabs>
              <w:rPr>
                <w:rFonts w:hAnsi="宋体"/>
                <w:bCs/>
              </w:rPr>
            </w:pPr>
            <w:r>
              <w:rPr>
                <w:rFonts w:hint="eastAsia" w:hAnsi="宋体"/>
                <w:bCs/>
              </w:rPr>
              <w:t>6.实施方案（含项目实施进度计划表）；</w:t>
            </w:r>
          </w:p>
          <w:p>
            <w:pPr>
              <w:pStyle w:val="6"/>
              <w:tabs>
                <w:tab w:val="left" w:pos="660"/>
              </w:tabs>
              <w:rPr>
                <w:rFonts w:hAnsi="宋体"/>
                <w:bCs/>
              </w:rPr>
            </w:pPr>
            <w:r>
              <w:rPr>
                <w:rFonts w:hint="eastAsia" w:hAnsi="宋体"/>
                <w:bCs/>
              </w:rPr>
              <w:t>7.验收方案；</w:t>
            </w:r>
          </w:p>
          <w:p>
            <w:pPr>
              <w:pStyle w:val="6"/>
              <w:tabs>
                <w:tab w:val="left" w:pos="660"/>
              </w:tabs>
              <w:rPr>
                <w:rFonts w:hAnsi="宋体"/>
                <w:bCs/>
              </w:rPr>
            </w:pPr>
            <w:r>
              <w:rPr>
                <w:rFonts w:hint="eastAsia" w:hAnsi="宋体"/>
                <w:bCs/>
              </w:rPr>
              <w:t>8.培训及售后服务方案；</w:t>
            </w:r>
          </w:p>
          <w:p>
            <w:pPr>
              <w:pStyle w:val="6"/>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6"/>
              <w:rPr>
                <w:rFonts w:hAnsi="宋体"/>
                <w:bCs/>
              </w:rPr>
            </w:pPr>
            <w:r>
              <w:rPr>
                <w:rFonts w:hint="eastAsia" w:hAnsi="宋体"/>
                <w:bCs/>
              </w:rPr>
              <w:t>应包括但不仅限于以下内容：</w:t>
            </w:r>
          </w:p>
          <w:p>
            <w:pPr>
              <w:pStyle w:val="6"/>
              <w:rPr>
                <w:rFonts w:hAnsi="宋体"/>
                <w:bCs/>
              </w:rPr>
            </w:pPr>
            <w:r>
              <w:rPr>
                <w:rFonts w:hint="eastAsia" w:hAnsi="宋体"/>
                <w:bCs/>
              </w:rPr>
              <w:t>1）报价设备数量、配置说明；</w:t>
            </w:r>
          </w:p>
          <w:p>
            <w:pPr>
              <w:pStyle w:val="6"/>
              <w:rPr>
                <w:rFonts w:hAnsi="宋体"/>
                <w:bCs/>
              </w:rPr>
            </w:pPr>
            <w:r>
              <w:rPr>
                <w:rFonts w:hint="eastAsia" w:hAnsi="宋体"/>
                <w:bCs/>
              </w:rPr>
              <w:t>2）技术响应方案；</w:t>
            </w:r>
          </w:p>
          <w:p>
            <w:pPr>
              <w:pStyle w:val="6"/>
              <w:rPr>
                <w:rFonts w:hAnsi="宋体"/>
                <w:bCs/>
              </w:rPr>
            </w:pPr>
            <w:r>
              <w:rPr>
                <w:rFonts w:hint="eastAsia" w:hAnsi="宋体"/>
                <w:bCs/>
              </w:rPr>
              <w:t>3）技术参数应答；</w:t>
            </w:r>
          </w:p>
          <w:p>
            <w:pPr>
              <w:pStyle w:val="6"/>
              <w:rPr>
                <w:rFonts w:hAnsi="宋体"/>
                <w:bCs/>
              </w:rPr>
            </w:pPr>
            <w:r>
              <w:rPr>
                <w:rFonts w:hint="eastAsia" w:hAnsi="宋体"/>
                <w:bCs/>
              </w:rPr>
              <w:t>4）公开发行的报价产品彩页或产品技术参数说明；</w:t>
            </w:r>
          </w:p>
          <w:p>
            <w:pPr>
              <w:pStyle w:val="6"/>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9"/>
              <w:spacing w:before="0" w:after="0" w:line="240" w:lineRule="auto"/>
              <w:ind w:left="0"/>
              <w:rPr>
                <w:bCs/>
                <w:color w:val="auto"/>
                <w:szCs w:val="21"/>
              </w:rPr>
            </w:pPr>
            <w:r>
              <w:rPr>
                <w:rFonts w:hint="eastAsia"/>
                <w:bCs/>
                <w:szCs w:val="28"/>
              </w:rPr>
              <w:t>磋商报价文件一式</w:t>
            </w:r>
            <w:r>
              <w:rPr>
                <w:rFonts w:hint="eastAsia"/>
                <w:bCs/>
                <w:szCs w:val="28"/>
                <w:lang w:val="en-US" w:eastAsia="zh-CN"/>
              </w:rPr>
              <w:t>4</w:t>
            </w:r>
            <w:r>
              <w:rPr>
                <w:rFonts w:hint="eastAsia"/>
                <w:bCs/>
                <w:szCs w:val="28"/>
              </w:rPr>
              <w:t>份（其中正本1份，副本</w:t>
            </w:r>
            <w:r>
              <w:rPr>
                <w:rFonts w:hint="eastAsia"/>
                <w:bCs/>
                <w:szCs w:val="28"/>
                <w:lang w:val="en-US" w:eastAsia="zh-CN"/>
              </w:rPr>
              <w:t>3</w:t>
            </w:r>
            <w:r>
              <w:rPr>
                <w:rFonts w:hint="eastAsia"/>
                <w:bCs/>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9"/>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4"/>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164"/>
        <w:gridCol w:w="933"/>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164"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3"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5097"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64" w:type="dxa"/>
            <w:shd w:val="clear" w:color="000000" w:fill="FFFFFF"/>
            <w:vAlign w:val="center"/>
          </w:tcPr>
          <w:p>
            <w:pPr>
              <w:widowControl/>
              <w:jc w:val="center"/>
              <w:rPr>
                <w:rFonts w:ascii="宋体" w:hAnsi="宋体"/>
                <w:sz w:val="24"/>
              </w:rPr>
            </w:pPr>
            <w:r>
              <w:rPr>
                <w:rFonts w:hint="eastAsia" w:ascii="宋体" w:hAnsi="宋体"/>
                <w:kern w:val="0"/>
                <w:sz w:val="24"/>
              </w:rPr>
              <w:t>金属电镀系统</w:t>
            </w:r>
          </w:p>
        </w:tc>
        <w:tc>
          <w:tcPr>
            <w:tcW w:w="933" w:type="dxa"/>
            <w:shd w:val="clear" w:color="000000" w:fill="FFFFFF"/>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套</w:t>
            </w:r>
          </w:p>
        </w:tc>
        <w:tc>
          <w:tcPr>
            <w:tcW w:w="5097" w:type="dxa"/>
            <w:shd w:val="clear" w:color="000000" w:fill="FFFFFF"/>
            <w:vAlign w:val="center"/>
          </w:tcPr>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该系统主要用来完成高深宽比金属铜凸点或互联结构的制作；</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color w:val="0000FF"/>
                <w:szCs w:val="21"/>
              </w:rPr>
              <w:t>▲</w:t>
            </w:r>
            <w:r>
              <w:rPr>
                <w:rFonts w:hint="eastAsia" w:ascii="宋体" w:hAnsi="宋体" w:eastAsia="宋体" w:cs="宋体"/>
                <w:b w:val="0"/>
                <w:bCs/>
                <w:sz w:val="24"/>
                <w:lang w:val="en-US" w:eastAsia="zh-CN"/>
              </w:rPr>
              <w:t>工艺指标：电镀片内均匀性小于5%，片间重复性小于3%；</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color w:val="0000FF"/>
                <w:szCs w:val="21"/>
              </w:rPr>
              <w:t>▲</w:t>
            </w:r>
            <w:r>
              <w:rPr>
                <w:rFonts w:hint="eastAsia" w:ascii="宋体" w:hAnsi="宋体" w:eastAsia="宋体" w:cs="宋体"/>
                <w:b w:val="0"/>
                <w:bCs/>
                <w:sz w:val="24"/>
                <w:lang w:val="en-US" w:eastAsia="zh-CN"/>
              </w:rPr>
              <w:t>电镀晶圆尺寸满足8寸、6寸、4寸及8寸向下兼容不规则样品；</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color w:val="0000FF"/>
                <w:szCs w:val="21"/>
              </w:rPr>
              <w:t>▲</w:t>
            </w:r>
            <w:r>
              <w:rPr>
                <w:rFonts w:hint="eastAsia" w:ascii="宋体" w:hAnsi="宋体" w:eastAsia="宋体" w:cs="宋体"/>
                <w:b w:val="0"/>
                <w:bCs/>
                <w:sz w:val="24"/>
                <w:lang w:val="en-US" w:eastAsia="zh-CN"/>
              </w:rPr>
              <w:t>电镀方式为水平电镀；</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镀液用量：10L或者更少；</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阳极：Ti/Pt（不可溶型）；</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配备循环过滤器：1um滤芯;</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配备供排液泵；</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具有互锁及其他安全机制；</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温度范围25-65℃可调；</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配有电镀液搅拌排泡装置；</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配有脉冲直流电源；</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配有电流保护、电动机转速控制系统；</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配有电镀液流量控制计和流量显示系统：</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配有电镀工艺计时器；</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配有温度监测系统和过热报警器；</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设备选用材料及配件需满足耐酸碱耐腐蚀且千级洁净室的工作需要，不得对环境造成污染；</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供方负责设备安装、调试及二次配管，要求无故障；</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设备安装调试完成后，由供需双方共同按双方签署的技术协议书进行验收，各项参数指标、功能、配置、资料、随机附件等均需达到技术协议规定要求；</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供方派有资格的工程师在需方生产现场免费为需方提供基本操作培训、工艺培训、简单故障排除培训、常规周期性维护培训；</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设备质量保证期为双方签订验收报告之日起 24 个月；</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故障响应：在质保期内仪器出现问题，接到用户报修要求，2小时内响应，如果无法通过网络和电话诊断排除故障，24小时客服工程师到现场，48小时资深工程师到现场（不可抗力情况除外），异常备件需免费更换且需更换的备件24小时内发货（不可抗拒情况除外），特殊情况下可提供备用方案。如果不能按时到达现场，每次顺延保修期1个月；</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质保期满前 30 天， 供方需免费对设备 进行一次全面的维护和检查，各项技术指标满足技术协议要求并提供设备检测报告； </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供方保证优惠、优先提供设备的配件供货； </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供方保证需方长期的技术服务和维修服务，并收费合理；</w:t>
            </w:r>
          </w:p>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供方向需方提供详细的设备资料，内容包括：完整的设备电气、结构、中文操作说明书，安全操作规程、维修维护等</w:t>
            </w:r>
          </w:p>
          <w:p>
            <w:pPr>
              <w:numPr>
                <w:ilvl w:val="0"/>
                <w:numId w:val="0"/>
              </w:numPr>
              <w:jc w:val="left"/>
              <w:rPr>
                <w:rFonts w:hint="default" w:ascii="仿宋" w:hAnsi="仿宋" w:eastAsia="仿宋"/>
                <w:b/>
                <w:sz w:val="24"/>
                <w:lang w:val="en-US" w:eastAsia="zh-CN"/>
              </w:rPr>
            </w:pPr>
          </w:p>
        </w:tc>
      </w:tr>
    </w:tbl>
    <w:p>
      <w:pPr>
        <w:spacing w:line="300" w:lineRule="exact"/>
        <w:rPr>
          <w:b/>
          <w:bCs/>
          <w:sz w:val="28"/>
        </w:rPr>
      </w:pPr>
      <w:r>
        <w:rPr>
          <w:rFonts w:hint="eastAsia" w:ascii="黑体" w:hAnsi="华文仿宋"/>
          <w:b/>
          <w:bCs/>
          <w:color w:val="0000FF"/>
          <w:szCs w:val="21"/>
          <w:lang w:eastAsia="zh-CN"/>
        </w:rPr>
        <w:t>；</w:t>
      </w: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宋体" w:hAnsi="宋体"/>
          <w:b/>
          <w:bCs/>
          <w:color w:val="0000FF"/>
          <w:szCs w:val="21"/>
        </w:rPr>
        <w:t xml:space="preserve">★项的参数为必须技术参数。 </w:t>
      </w:r>
      <w:r>
        <w:rPr>
          <w:rFonts w:ascii="宋体" w:hAnsi="宋体"/>
          <w:b/>
          <w:bCs/>
          <w:color w:val="0000FF"/>
          <w:szCs w:val="21"/>
        </w:rPr>
        <w:t xml:space="preserve"> </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报价人应根据本采购文件中提出的技术要求，在报价文件中提供技术应答书或技术建议书，并在技术偏离表中一一对应标注清楚。</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w:t>
      </w:r>
      <w:r>
        <w:rPr>
          <w:rFonts w:hint="eastAsia" w:ascii="Arial" w:hAnsi="宋体" w:cs="Arial"/>
          <w:sz w:val="24"/>
          <w:szCs w:val="21"/>
          <w:lang w:val="en-US" w:eastAsia="zh-CN"/>
        </w:rPr>
        <w:t>3</w:t>
      </w:r>
      <w:r>
        <w:rPr>
          <w:rFonts w:hint="eastAsia" w:ascii="Arial" w:hAnsi="宋体" w:cs="Arial"/>
          <w:sz w:val="24"/>
          <w:szCs w:val="21"/>
        </w:rPr>
        <w:t>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sz w:val="24"/>
        </w:rPr>
      </w:pPr>
      <w:r>
        <w:rPr>
          <w:rFonts w:hint="eastAsia"/>
          <w:sz w:val="24"/>
        </w:rPr>
        <w:t>从中华人民共和国境内提供的货物：合同签订且设备到达用户指定地点安装、调试验收合格后支付尾款90%，10 %质保金。</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6"/>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6"/>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lang w:val="en-US" w:eastAsia="zh-CN"/>
        </w:rPr>
        <w:t>贰</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5"/>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5"/>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5"/>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w:t>
      </w:r>
      <w:r>
        <w:rPr>
          <w:rFonts w:hint="eastAsia" w:ascii="宋体" w:hAnsi="宋体"/>
          <w:sz w:val="24"/>
          <w:lang w:val="en-US" w:eastAsia="zh-CN"/>
        </w:rPr>
        <w:t>叁</w:t>
      </w:r>
      <w:r>
        <w:rPr>
          <w:rFonts w:hint="eastAsia" w:ascii="宋体" w:hAnsi="宋体"/>
          <w:sz w:val="24"/>
        </w:rPr>
        <w:t>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4"/>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7"/>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7"/>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7"/>
        <w:tabs>
          <w:tab w:val="left" w:pos="0"/>
          <w:tab w:val="left" w:pos="735"/>
        </w:tabs>
        <w:spacing w:line="360" w:lineRule="auto"/>
        <w:ind w:firstLine="365" w:firstLineChars="174"/>
        <w:rPr>
          <w:u w:val="single"/>
        </w:rPr>
      </w:pPr>
      <w:r>
        <w:rPr>
          <w:rFonts w:hint="eastAsia"/>
          <w:u w:val="single"/>
        </w:rPr>
        <w:t xml:space="preserve">合同包：           </w:t>
      </w:r>
    </w:p>
    <w:tbl>
      <w:tblPr>
        <w:tblStyle w:val="1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w:t>
      </w:r>
    </w:p>
    <w:p>
      <w:pPr>
        <w:pStyle w:val="27"/>
        <w:numPr>
          <w:ilvl w:val="0"/>
          <w:numId w:val="10"/>
        </w:numPr>
        <w:spacing w:line="380" w:lineRule="exact"/>
        <w:ind w:firstLineChars="0"/>
        <w:rPr>
          <w:rFonts w:ascii="宋体" w:hAnsi="宋体"/>
          <w:sz w:val="24"/>
        </w:rPr>
      </w:pPr>
      <w:r>
        <w:rPr>
          <w:rFonts w:hint="eastAsia" w:ascii="宋体" w:hAnsi="宋体"/>
          <w:sz w:val="24"/>
        </w:rPr>
        <w:t>报价人提交的报价文件中应将报价货物或服务项目按采购要求的技术、商务、服务等要求逐条列明，说明报价响应情况。</w:t>
      </w:r>
    </w:p>
    <w:p>
      <w:pPr>
        <w:pStyle w:val="27"/>
        <w:numPr>
          <w:ilvl w:val="0"/>
          <w:numId w:val="10"/>
        </w:numPr>
        <w:spacing w:line="380" w:lineRule="exact"/>
        <w:ind w:firstLineChars="0"/>
        <w:rPr>
          <w:rFonts w:ascii="宋体" w:hAnsi="宋体"/>
          <w:b w:val="0"/>
          <w:bCs/>
          <w:sz w:val="24"/>
        </w:rPr>
      </w:pPr>
      <w:r>
        <w:rPr>
          <w:rFonts w:hint="eastAsia" w:ascii="宋体" w:hAnsi="宋体"/>
          <w:b w:val="0"/>
          <w:bCs/>
          <w:sz w:val="24"/>
        </w:rPr>
        <w:t>若存在质保期、付款方式等商务条款偏离的，需特别注明。</w:t>
      </w:r>
    </w:p>
    <w:p>
      <w:pPr>
        <w:pStyle w:val="27"/>
        <w:numPr>
          <w:ilvl w:val="0"/>
          <w:numId w:val="10"/>
        </w:numPr>
        <w:spacing w:line="380" w:lineRule="exact"/>
        <w:ind w:firstLineChars="0"/>
        <w:rPr>
          <w:rFonts w:ascii="宋体" w:hAnsi="宋体"/>
          <w:sz w:val="24"/>
        </w:rPr>
      </w:pPr>
      <w:r>
        <w:rPr>
          <w:rFonts w:hint="eastAsia" w:ascii="宋体" w:hAnsi="宋体"/>
          <w:sz w:val="24"/>
        </w:rPr>
        <w:t xml:space="preserve">报价人应保证报价响应情况的正确性、真实性，报价人存在弄虚作假行  为的，将依法承担相应的法律责任。 </w:t>
      </w:r>
    </w:p>
    <w:p>
      <w:pPr>
        <w:pStyle w:val="7"/>
        <w:tabs>
          <w:tab w:val="left" w:pos="0"/>
          <w:tab w:val="left" w:pos="735"/>
        </w:tabs>
        <w:spacing w:line="360" w:lineRule="auto"/>
        <w:rPr>
          <w:rFonts w:hAnsi="宋体"/>
        </w:rPr>
      </w:pPr>
    </w:p>
    <w:p>
      <w:pPr>
        <w:pStyle w:val="7"/>
        <w:tabs>
          <w:tab w:val="left" w:pos="0"/>
          <w:tab w:val="left" w:pos="735"/>
        </w:tabs>
        <w:spacing w:line="360" w:lineRule="auto"/>
      </w:pPr>
    </w:p>
    <w:p>
      <w:pPr>
        <w:pStyle w:val="7"/>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7"/>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7"/>
        <w:tabs>
          <w:tab w:val="left" w:pos="0"/>
          <w:tab w:val="left" w:pos="735"/>
        </w:tabs>
        <w:spacing w:line="360" w:lineRule="auto"/>
        <w:rPr>
          <w:u w:val="single"/>
        </w:rPr>
      </w:pPr>
    </w:p>
    <w:p>
      <w:pPr>
        <w:pStyle w:val="6"/>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6"/>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6"/>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6"/>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6"/>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6"/>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6"/>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6"/>
        <w:snapToGrid w:val="0"/>
        <w:spacing w:line="400" w:lineRule="exact"/>
        <w:ind w:firstLine="480" w:firstLineChars="200"/>
        <w:jc w:val="left"/>
        <w:rPr>
          <w:rFonts w:hAnsi="宋体"/>
          <w:sz w:val="24"/>
        </w:rPr>
      </w:pPr>
      <w:r>
        <w:rPr>
          <w:rFonts w:hint="eastAsia" w:hAnsi="宋体"/>
          <w:sz w:val="24"/>
        </w:rPr>
        <w:t xml:space="preserve">投标人名称：                               </w:t>
      </w:r>
    </w:p>
    <w:p>
      <w:pPr>
        <w:pStyle w:val="6"/>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6"/>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6"/>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6"/>
        <w:snapToGrid w:val="0"/>
        <w:spacing w:line="400" w:lineRule="exact"/>
        <w:ind w:firstLine="480" w:firstLineChars="200"/>
        <w:jc w:val="left"/>
        <w:rPr>
          <w:rFonts w:hAnsi="宋体"/>
          <w:sz w:val="24"/>
        </w:rPr>
      </w:pPr>
      <w:r>
        <w:rPr>
          <w:rFonts w:hint="eastAsia" w:hAnsi="宋体"/>
          <w:sz w:val="24"/>
        </w:rPr>
        <w:t>本授权书自出具之日起生效。</w:t>
      </w:r>
    </w:p>
    <w:p>
      <w:pPr>
        <w:pStyle w:val="6"/>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1" w:name="_Toc238290496"/>
      <w:bookmarkStart w:id="2" w:name="_Toc323741898"/>
      <w:bookmarkStart w:id="3" w:name="_Toc184550797"/>
      <w:bookmarkStart w:id="4" w:name="_Toc184176484"/>
      <w:bookmarkStart w:id="5" w:name="_Toc256416592"/>
      <w:r>
        <w:rPr>
          <w:rFonts w:hint="eastAsia"/>
          <w:sz w:val="24"/>
        </w:rPr>
        <w:t>附：被授权人身份证件</w:t>
      </w:r>
    </w:p>
    <w:p>
      <w:pPr>
        <w:pStyle w:val="29"/>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4"/>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9"/>
              <w:rPr>
                <w:sz w:val="32"/>
              </w:rPr>
            </w:pPr>
            <w:bookmarkStart w:id="6" w:name="_Toc415124198"/>
            <w:bookmarkStart w:id="7" w:name="_Toc418491550"/>
            <w:bookmarkStart w:id="8" w:name="_Toc433037128"/>
            <w:bookmarkStart w:id="9" w:name="_Toc415124366"/>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pPr>
              <w:pStyle w:val="29"/>
              <w:rPr>
                <w:sz w:val="32"/>
              </w:rPr>
            </w:pPr>
            <w:bookmarkStart w:id="10" w:name="_Toc418491551"/>
            <w:bookmarkStart w:id="11" w:name="_Toc415124199"/>
            <w:bookmarkStart w:id="12" w:name="_Toc415124367"/>
            <w:bookmarkStart w:id="13" w:name="_Toc433037129"/>
            <w:r>
              <w:rPr>
                <w:rFonts w:hint="eastAsia"/>
                <w:sz w:val="32"/>
              </w:rPr>
              <w:t>（</w:t>
            </w:r>
            <w:r>
              <w:rPr>
                <w:rFonts w:hint="eastAsia"/>
                <w:sz w:val="24"/>
              </w:rPr>
              <w:t>报价代表身份证反面复印件）</w:t>
            </w:r>
            <w:bookmarkEnd w:id="10"/>
            <w:bookmarkEnd w:id="11"/>
            <w:bookmarkEnd w:id="12"/>
            <w:bookmarkEnd w:id="13"/>
          </w:p>
        </w:tc>
      </w:tr>
      <w:bookmarkEnd w:id="1"/>
      <w:bookmarkEnd w:id="2"/>
      <w:bookmarkEnd w:id="3"/>
      <w:bookmarkEnd w:id="4"/>
      <w:bookmarkEnd w:id="5"/>
    </w:tbl>
    <w:p>
      <w:pPr>
        <w:pStyle w:val="7"/>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widowControl/>
        <w:jc w:val="left"/>
        <w:rPr>
          <w:rFonts w:ascii="宋体"/>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ind w:firstLine="2570" w:firstLineChars="800"/>
        <w:rPr>
          <w:b/>
          <w:bCs/>
          <w:color w:val="000000"/>
          <w:sz w:val="32"/>
          <w:szCs w:val="32"/>
        </w:rPr>
      </w:pPr>
      <w:r>
        <w:rPr>
          <w:rFonts w:hint="eastAsia"/>
          <w:b/>
          <w:bCs/>
          <w:color w:val="000000"/>
          <w:sz w:val="32"/>
          <w:szCs w:val="32"/>
        </w:rPr>
        <w:t>第六章  合同书格式</w:t>
      </w:r>
    </w:p>
    <w:tbl>
      <w:tblPr>
        <w:tblStyle w:val="14"/>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签订日期：      年     月     日</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ind w:firstLine="482" w:firstLineChars="200"/>
        <w:jc w:val="left"/>
        <w:rPr>
          <w:rFonts w:ascii="宋体" w:hAnsi="宋体" w:cs="宋体"/>
          <w:b/>
          <w:color w:val="FF0000"/>
          <w:kern w:val="0"/>
          <w:sz w:val="24"/>
        </w:rPr>
      </w:pPr>
      <w:r>
        <w:rPr>
          <w:rFonts w:hint="eastAsia" w:ascii="宋体" w:hAnsi="宋体" w:cs="宋体"/>
          <w:b/>
          <w:bCs/>
          <w:color w:val="000000"/>
          <w:kern w:val="0"/>
          <w:sz w:val="24"/>
        </w:rPr>
        <w:t>第一条 合同标的和合同价格</w:t>
      </w:r>
      <w:r>
        <w:rPr>
          <w:rFonts w:hint="eastAsia" w:ascii="宋体" w:hAnsi="宋体" w:cs="宋体"/>
          <w:b/>
          <w:color w:val="FF0000"/>
          <w:kern w:val="0"/>
          <w:sz w:val="24"/>
        </w:rPr>
        <w:t>（详细参数、质量要求见技术协议）</w:t>
      </w:r>
    </w:p>
    <w:tbl>
      <w:tblPr>
        <w:tblStyle w:val="14"/>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序号</w:t>
            </w:r>
          </w:p>
        </w:tc>
        <w:tc>
          <w:tcPr>
            <w:tcW w:w="1418" w:type="dxa"/>
            <w:vAlign w:val="center"/>
          </w:tcPr>
          <w:p>
            <w:pPr>
              <w:jc w:val="center"/>
              <w:rPr>
                <w:sz w:val="24"/>
              </w:rPr>
            </w:pPr>
            <w:r>
              <w:rPr>
                <w:rFonts w:hint="eastAsia"/>
                <w:sz w:val="24"/>
              </w:rPr>
              <w:t>货物名称</w:t>
            </w:r>
          </w:p>
        </w:tc>
        <w:tc>
          <w:tcPr>
            <w:tcW w:w="1275" w:type="dxa"/>
            <w:vAlign w:val="center"/>
          </w:tcPr>
          <w:p>
            <w:pPr>
              <w:jc w:val="center"/>
              <w:rPr>
                <w:sz w:val="24"/>
              </w:rPr>
            </w:pPr>
            <w:r>
              <w:rPr>
                <w:rFonts w:hint="eastAsia"/>
                <w:sz w:val="24"/>
              </w:rPr>
              <w:t>规格型号</w:t>
            </w:r>
          </w:p>
        </w:tc>
        <w:tc>
          <w:tcPr>
            <w:tcW w:w="851" w:type="dxa"/>
            <w:vAlign w:val="center"/>
          </w:tcPr>
          <w:p>
            <w:pPr>
              <w:jc w:val="center"/>
              <w:rPr>
                <w:sz w:val="24"/>
              </w:rPr>
            </w:pPr>
            <w:r>
              <w:rPr>
                <w:rFonts w:hint="eastAsia"/>
                <w:sz w:val="24"/>
              </w:rPr>
              <w:t>数量</w:t>
            </w:r>
          </w:p>
        </w:tc>
        <w:tc>
          <w:tcPr>
            <w:tcW w:w="850" w:type="dxa"/>
            <w:vAlign w:val="center"/>
          </w:tcPr>
          <w:p>
            <w:pPr>
              <w:jc w:val="center"/>
              <w:rPr>
                <w:sz w:val="24"/>
              </w:rPr>
            </w:pPr>
            <w:r>
              <w:rPr>
                <w:rFonts w:hint="eastAsia"/>
                <w:sz w:val="24"/>
              </w:rPr>
              <w:t>单位</w:t>
            </w:r>
          </w:p>
        </w:tc>
        <w:tc>
          <w:tcPr>
            <w:tcW w:w="993" w:type="dxa"/>
            <w:vAlign w:val="center"/>
          </w:tcPr>
          <w:p>
            <w:pPr>
              <w:jc w:val="center"/>
              <w:rPr>
                <w:sz w:val="24"/>
              </w:rPr>
            </w:pPr>
            <w:r>
              <w:rPr>
                <w:rFonts w:hint="eastAsia"/>
                <w:sz w:val="24"/>
              </w:rPr>
              <w:t>未税</w:t>
            </w:r>
          </w:p>
          <w:p>
            <w:pPr>
              <w:jc w:val="center"/>
              <w:rPr>
                <w:sz w:val="24"/>
              </w:rPr>
            </w:pPr>
            <w:r>
              <w:rPr>
                <w:rFonts w:hint="eastAsia"/>
                <w:sz w:val="24"/>
              </w:rPr>
              <w:t>单价</w:t>
            </w:r>
          </w:p>
        </w:tc>
        <w:tc>
          <w:tcPr>
            <w:tcW w:w="992" w:type="dxa"/>
            <w:vAlign w:val="center"/>
          </w:tcPr>
          <w:p>
            <w:pPr>
              <w:jc w:val="center"/>
              <w:rPr>
                <w:sz w:val="24"/>
              </w:rPr>
            </w:pPr>
            <w:r>
              <w:rPr>
                <w:rFonts w:hint="eastAsia"/>
                <w:sz w:val="24"/>
              </w:rPr>
              <w:t>含税</w:t>
            </w:r>
          </w:p>
          <w:p>
            <w:pPr>
              <w:jc w:val="center"/>
              <w:rPr>
                <w:sz w:val="24"/>
              </w:rPr>
            </w:pPr>
            <w:r>
              <w:rPr>
                <w:rFonts w:hint="eastAsia"/>
                <w:sz w:val="24"/>
              </w:rPr>
              <w:t>单价</w:t>
            </w:r>
          </w:p>
        </w:tc>
        <w:tc>
          <w:tcPr>
            <w:tcW w:w="992" w:type="dxa"/>
            <w:tcBorders>
              <w:right w:val="single" w:color="auto" w:sz="4" w:space="0"/>
            </w:tcBorders>
            <w:vAlign w:val="center"/>
          </w:tcPr>
          <w:p>
            <w:pPr>
              <w:jc w:val="center"/>
              <w:rPr>
                <w:sz w:val="24"/>
              </w:rPr>
            </w:pPr>
            <w:r>
              <w:rPr>
                <w:rFonts w:hint="eastAsia"/>
                <w:sz w:val="24"/>
              </w:rPr>
              <w:t>含税</w:t>
            </w:r>
          </w:p>
          <w:p>
            <w:pPr>
              <w:jc w:val="center"/>
              <w:rPr>
                <w:sz w:val="24"/>
              </w:rPr>
            </w:pPr>
            <w:r>
              <w:rPr>
                <w:rFonts w:hint="eastAsia"/>
                <w:sz w:val="24"/>
              </w:rPr>
              <w:t>总价</w:t>
            </w:r>
          </w:p>
        </w:tc>
        <w:tc>
          <w:tcPr>
            <w:tcW w:w="851" w:type="dxa"/>
            <w:tcBorders>
              <w:left w:val="single" w:color="auto" w:sz="4" w:space="0"/>
            </w:tcBorders>
            <w:vAlign w:val="center"/>
          </w:tcPr>
          <w:p>
            <w:pPr>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1</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2</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039" w:type="dxa"/>
            <w:gridSpan w:val="9"/>
            <w:vAlign w:val="center"/>
          </w:tcPr>
          <w:p>
            <w:pPr>
              <w:tabs>
                <w:tab w:val="left" w:pos="1059"/>
              </w:tabs>
              <w:jc w:val="left"/>
              <w:rPr>
                <w:sz w:val="24"/>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第二条 质量与保修</w:t>
      </w:r>
    </w:p>
    <w:p>
      <w:pPr>
        <w:adjustRightInd w:val="0"/>
        <w:spacing w:line="360" w:lineRule="auto"/>
        <w:ind w:firstLine="480" w:firstLineChars="200"/>
        <w:rPr>
          <w:rFonts w:ascii="宋体" w:hAnsi="宋体"/>
          <w:bCs/>
          <w:sz w:val="24"/>
        </w:rPr>
      </w:pPr>
      <w:r>
        <w:rPr>
          <w:rFonts w:hint="eastAsia" w:ascii="宋体" w:hAnsi="宋体"/>
          <w:bCs/>
          <w:sz w:val="24"/>
        </w:rPr>
        <w:t>2.1、质量保证：乙方对产品质量实行三包，所有货物质保期为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2.2、质保期自□每批货物通过甲方验收之日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pPr>
        <w:adjustRightInd w:val="0"/>
        <w:spacing w:line="360" w:lineRule="auto"/>
        <w:ind w:firstLine="480" w:firstLineChars="200"/>
        <w:rPr>
          <w:rFonts w:ascii="宋体" w:hAnsi="宋体"/>
          <w:bCs/>
          <w:sz w:val="24"/>
        </w:rPr>
      </w:pPr>
      <w:r>
        <w:rPr>
          <w:rFonts w:hint="eastAsia" w:ascii="宋体" w:hAnsi="宋体"/>
          <w:bCs/>
          <w:sz w:val="24"/>
        </w:rPr>
        <w:t>2.3、因货物的质量问题发生争议的，应当申请国家认可的质量检测机构对货物质量进行鉴定。货物符合标准的，鉴定费由甲方承担；货物不符合质量标准的，鉴定费由乙方承担。</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第三条  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3.1 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3.2 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第四条  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ind w:firstLine="482" w:firstLineChars="200"/>
        <w:jc w:val="left"/>
        <w:rPr>
          <w:rFonts w:ascii="宋体" w:hAnsi="宋体" w:cs="宋体"/>
          <w:b/>
          <w:color w:val="FF0000"/>
          <w:kern w:val="0"/>
          <w:sz w:val="24"/>
        </w:rPr>
      </w:pPr>
      <w:r>
        <w:rPr>
          <w:rFonts w:hint="eastAsia" w:ascii="宋体" w:hAnsi="宋体" w:cs="宋体"/>
          <w:b/>
          <w:bCs/>
          <w:color w:val="000000"/>
          <w:kern w:val="0"/>
          <w:sz w:val="24"/>
        </w:rPr>
        <w:t>第五条 交货及验收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b/>
          <w:color w:val="FF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spacing w:line="360" w:lineRule="auto"/>
        <w:ind w:firstLine="480" w:firstLineChars="200"/>
        <w:jc w:val="left"/>
        <w:rPr>
          <w:rFonts w:ascii="宋体" w:hAnsi="宋体"/>
          <w:sz w:val="24"/>
        </w:rPr>
      </w:pPr>
      <w:r>
        <w:rPr>
          <w:rFonts w:hint="eastAsia" w:ascii="宋体" w:hAnsi="宋体"/>
          <w:sz w:val="24"/>
        </w:rPr>
        <w:t xml:space="preserve">4.1 </w:t>
      </w:r>
      <w:r>
        <w:rPr>
          <w:rFonts w:ascii="宋体" w:hAnsi="宋体"/>
          <w:sz w:val="24"/>
        </w:rPr>
        <w:t>乙方交付的货物应当完全符合本合同所</w:t>
      </w:r>
      <w:r>
        <w:rPr>
          <w:rFonts w:hint="eastAsia" w:ascii="宋体" w:hAnsi="宋体"/>
          <w:sz w:val="24"/>
        </w:rPr>
        <w:t>约定</w:t>
      </w:r>
      <w:r>
        <w:rPr>
          <w:rFonts w:ascii="宋体" w:hAnsi="宋体"/>
          <w:sz w:val="24"/>
        </w:rPr>
        <w:t>的货物、数量和规格要求。乙方应将货物的装箱清单、用户手册、原厂保修卡、随机资料及配件、随机工具等一并交付甲方</w:t>
      </w:r>
      <w:r>
        <w:rPr>
          <w:rFonts w:hint="eastAsia" w:ascii="宋体" w:hAnsi="宋体"/>
          <w:sz w:val="24"/>
        </w:rPr>
        <w:t>。若</w:t>
      </w:r>
      <w:r>
        <w:rPr>
          <w:rFonts w:ascii="宋体" w:hAnsi="宋体"/>
          <w:sz w:val="24"/>
        </w:rPr>
        <w:t>乙方</w:t>
      </w:r>
      <w:r>
        <w:rPr>
          <w:rFonts w:hint="eastAsia" w:ascii="宋体" w:hAnsi="宋体"/>
          <w:sz w:val="24"/>
        </w:rPr>
        <w:t>未</w:t>
      </w:r>
      <w:r>
        <w:rPr>
          <w:rFonts w:ascii="宋体" w:hAnsi="宋体"/>
          <w:sz w:val="24"/>
        </w:rPr>
        <w:t>能完整交付货物及本款规定的单证和工具的，视为未按合同约定交货，乙方</w:t>
      </w:r>
      <w:r>
        <w:rPr>
          <w:rFonts w:hint="eastAsia" w:ascii="宋体" w:hAnsi="宋体"/>
          <w:sz w:val="24"/>
        </w:rPr>
        <w:t>应</w:t>
      </w:r>
      <w:r>
        <w:rPr>
          <w:rFonts w:ascii="宋体" w:hAnsi="宋体"/>
          <w:sz w:val="24"/>
        </w:rPr>
        <w:t>补齐，</w:t>
      </w:r>
      <w:r>
        <w:rPr>
          <w:rFonts w:hint="eastAsia" w:ascii="宋体" w:hAnsi="宋体"/>
          <w:sz w:val="24"/>
        </w:rPr>
        <w:t>若因此</w:t>
      </w:r>
      <w:r>
        <w:rPr>
          <w:rFonts w:ascii="宋体" w:hAnsi="宋体"/>
          <w:sz w:val="24"/>
        </w:rPr>
        <w:t>导致逾期交付的，由乙方承担相关的违约责任。</w:t>
      </w:r>
    </w:p>
    <w:p>
      <w:pPr>
        <w:spacing w:line="360" w:lineRule="auto"/>
        <w:ind w:firstLine="480" w:firstLineChars="200"/>
        <w:jc w:val="left"/>
        <w:rPr>
          <w:rFonts w:ascii="宋体" w:hAnsi="宋体"/>
          <w:sz w:val="24"/>
        </w:rPr>
      </w:pPr>
      <w:r>
        <w:rPr>
          <w:rFonts w:hint="eastAsia" w:ascii="宋体" w:hAnsi="宋体"/>
          <w:sz w:val="24"/>
        </w:rPr>
        <w:t>4.2 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，并免费进行安装、调试及培训，直到交付使用。若由甲方原因造成货物交付推迟，由双方重新商定交货时间，乙方需自行承担仓储费及因延迟交货所产生的全部费用。</w:t>
      </w:r>
    </w:p>
    <w:p>
      <w:pPr>
        <w:spacing w:line="360" w:lineRule="auto"/>
        <w:ind w:firstLine="480" w:firstLineChars="200"/>
        <w:jc w:val="left"/>
        <w:rPr>
          <w:rFonts w:ascii="宋体" w:hAnsi="宋体"/>
          <w:sz w:val="24"/>
        </w:rPr>
      </w:pPr>
      <w:r>
        <w:rPr>
          <w:rFonts w:hint="eastAsia" w:ascii="宋体" w:hAnsi="宋体"/>
          <w:sz w:val="24"/>
        </w:rPr>
        <w:t>4.3 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widowControl/>
        <w:shd w:val="clear" w:color="auto" w:fill="FFFFFF"/>
        <w:spacing w:line="440" w:lineRule="atLeast"/>
        <w:ind w:firstLine="480" w:firstLineChars="200"/>
        <w:jc w:val="left"/>
        <w:rPr>
          <w:rFonts w:ascii="宋体" w:hAnsi="宋体" w:cs="宋体"/>
          <w:b/>
          <w:color w:val="FF0000"/>
          <w:kern w:val="0"/>
          <w:sz w:val="24"/>
        </w:rPr>
      </w:pPr>
      <w:r>
        <w:rPr>
          <w:rFonts w:hint="eastAsia" w:ascii="宋体" w:hAnsi="宋体"/>
          <w:sz w:val="24"/>
        </w:rPr>
        <w:t>4.4 甲方应当在到货之后（如有安装则在安装结束之后）对货物进行验收。经甲方验收后，甲方指定的负责人：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第六条 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6.1货物交货付款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 w:val="24"/>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ind w:firstLine="361" w:firstLineChars="150"/>
        <w:jc w:val="left"/>
        <w:rPr>
          <w:rFonts w:ascii="宋体" w:hAnsi="宋体"/>
          <w:b/>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w:t>
      </w:r>
      <w:r>
        <w:rPr>
          <w:rFonts w:hint="eastAsia" w:ascii="宋体" w:hAnsi="宋体"/>
          <w:b/>
          <w:sz w:val="24"/>
        </w:rPr>
        <w:t>伴随服务和售后服务</w:t>
      </w:r>
      <w:r>
        <w:rPr>
          <w:rFonts w:hint="eastAsia" w:ascii="宋体" w:hAnsi="宋体" w:cs="宋体"/>
          <w:b/>
          <w:color w:val="FF0000"/>
          <w:kern w:val="0"/>
          <w:sz w:val="24"/>
        </w:rPr>
        <w:t>(按投标文件填写)</w:t>
      </w:r>
    </w:p>
    <w:p>
      <w:pPr>
        <w:adjustRightInd w:val="0"/>
        <w:spacing w:line="360" w:lineRule="auto"/>
        <w:ind w:firstLine="480" w:firstLineChars="200"/>
        <w:rPr>
          <w:rFonts w:ascii="宋体" w:hAnsi="宋体"/>
          <w:bCs/>
          <w:sz w:val="24"/>
        </w:rPr>
      </w:pPr>
      <w:r>
        <w:rPr>
          <w:rFonts w:hint="eastAsia" w:ascii="宋体" w:hAnsi="宋体"/>
          <w:bCs/>
          <w:sz w:val="24"/>
        </w:rPr>
        <w:t>7.1 乙方应按照国家</w:t>
      </w:r>
      <w:r>
        <w:rPr>
          <w:rFonts w:ascii="宋体" w:hAnsi="宋体"/>
          <w:bCs/>
          <w:sz w:val="24"/>
        </w:rPr>
        <w:t>有关法律法规和“三包”规定提供伴随服务与售后服务</w:t>
      </w:r>
      <w:r>
        <w:rPr>
          <w:rFonts w:hint="eastAsia" w:ascii="宋体" w:hAnsi="宋体"/>
          <w:bCs/>
          <w:sz w:val="24"/>
        </w:rPr>
        <w:t>，在产品使用过程中，乙方对甲方依照本合同提出的保修等要求，应在2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小时内响应，并在3日内维修完毕，若遇重大故障可延迟到1</w:t>
      </w:r>
      <w:r>
        <w:rPr>
          <w:rFonts w:ascii="宋体" w:hAnsi="宋体"/>
          <w:bCs/>
          <w:sz w:val="24"/>
        </w:rPr>
        <w:t>5</w:t>
      </w:r>
      <w:r>
        <w:rPr>
          <w:rFonts w:hint="eastAsia" w:ascii="宋体" w:hAnsi="宋体"/>
          <w:bCs/>
          <w:sz w:val="24"/>
        </w:rPr>
        <w:t>个工作日内维修完毕，若无法维修的，乙方应免费进行更换。</w:t>
      </w:r>
    </w:p>
    <w:p>
      <w:pPr>
        <w:adjustRightInd w:val="0"/>
        <w:spacing w:line="360" w:lineRule="auto"/>
        <w:ind w:firstLine="480" w:firstLineChars="200"/>
        <w:rPr>
          <w:rFonts w:ascii="宋体" w:hAnsi="宋体"/>
          <w:bCs/>
          <w:sz w:val="24"/>
        </w:rPr>
      </w:pPr>
      <w:r>
        <w:rPr>
          <w:rFonts w:hint="eastAsia" w:ascii="宋体" w:hAnsi="宋体"/>
          <w:bCs/>
          <w:sz w:val="24"/>
        </w:rPr>
        <w:t>7.2 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pPr>
        <w:adjustRightInd w:val="0"/>
        <w:spacing w:line="360" w:lineRule="auto"/>
        <w:ind w:firstLine="480" w:firstLineChars="200"/>
        <w:rPr>
          <w:rFonts w:ascii="宋体" w:hAnsi="宋体"/>
          <w:bCs/>
          <w:sz w:val="24"/>
        </w:rPr>
      </w:pPr>
      <w:r>
        <w:rPr>
          <w:rFonts w:hint="eastAsia" w:ascii="宋体" w:hAnsi="宋体"/>
          <w:bCs/>
          <w:sz w:val="24"/>
        </w:rPr>
        <w:t>7.3 乙方承诺对其所提供的产品提供终身维修服务，质保期后维修仅收取零部件费用。</w:t>
      </w:r>
    </w:p>
    <w:p>
      <w:pPr>
        <w:widowControl/>
        <w:shd w:val="clear" w:color="auto" w:fill="FFFFFF"/>
        <w:spacing w:line="440" w:lineRule="atLeast"/>
        <w:ind w:firstLine="480" w:firstLineChars="200"/>
        <w:jc w:val="left"/>
        <w:rPr>
          <w:rFonts w:ascii="宋体" w:hAnsi="宋体" w:cs="宋体"/>
          <w:b/>
          <w:color w:val="FF0000"/>
          <w:kern w:val="0"/>
          <w:sz w:val="24"/>
        </w:rPr>
      </w:pPr>
      <w:r>
        <w:rPr>
          <w:rFonts w:hint="eastAsia" w:ascii="宋体" w:hAnsi="宋体"/>
          <w:bCs/>
          <w:sz w:val="24"/>
        </w:rPr>
        <w:t>7.4 质保期后，甲方向乙方购买本合同采购货物的配套配件时，乙方收取的费用应不高于同时期的市场价。</w:t>
      </w:r>
    </w:p>
    <w:p>
      <w:pPr>
        <w:adjustRightInd w:val="0"/>
        <w:spacing w:line="360" w:lineRule="auto"/>
        <w:ind w:firstLine="482" w:firstLineChars="200"/>
        <w:rPr>
          <w:rFonts w:ascii="宋体" w:hAnsi="宋体"/>
          <w:b/>
          <w:bCs/>
          <w:sz w:val="24"/>
        </w:rPr>
      </w:pPr>
      <w:r>
        <w:rPr>
          <w:rFonts w:hint="eastAsia" w:ascii="宋体" w:hAnsi="宋体" w:cs="宋体"/>
          <w:b/>
          <w:bCs/>
          <w:color w:val="000000"/>
          <w:kern w:val="0"/>
          <w:sz w:val="24"/>
        </w:rPr>
        <w:t>第八条</w:t>
      </w:r>
      <w:r>
        <w:rPr>
          <w:rFonts w:hint="eastAsia" w:ascii="宋体" w:hAnsi="宋体"/>
          <w:b/>
          <w:bCs/>
          <w:sz w:val="24"/>
        </w:rPr>
        <w:t xml:space="preserve"> 违约责任</w:t>
      </w:r>
    </w:p>
    <w:p>
      <w:pPr>
        <w:adjustRightInd w:val="0"/>
        <w:spacing w:line="360" w:lineRule="auto"/>
        <w:ind w:firstLine="480" w:firstLineChars="200"/>
        <w:rPr>
          <w:rFonts w:ascii="宋体" w:hAnsi="宋体"/>
          <w:bCs/>
          <w:sz w:val="24"/>
        </w:rPr>
      </w:pPr>
      <w:r>
        <w:rPr>
          <w:rFonts w:hint="eastAsia" w:ascii="宋体" w:hAnsi="宋体"/>
          <w:bCs/>
          <w:sz w:val="24"/>
        </w:rPr>
        <w:t xml:space="preserve">8.1 </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ascii="宋体" w:hAnsi="宋体"/>
          <w:bCs/>
          <w:sz w:val="24"/>
        </w:rPr>
      </w:pPr>
      <w:r>
        <w:rPr>
          <w:rFonts w:hint="eastAsia" w:ascii="宋体" w:hAnsi="宋体"/>
          <w:bCs/>
          <w:sz w:val="24"/>
        </w:rPr>
        <w:t xml:space="preserve">8.2 </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ascii="宋体" w:hAnsi="宋体"/>
          <w:bCs/>
          <w:sz w:val="24"/>
        </w:rPr>
      </w:pPr>
      <w:r>
        <w:rPr>
          <w:rFonts w:hint="eastAsia" w:ascii="宋体" w:hAnsi="宋体"/>
          <w:bCs/>
          <w:sz w:val="24"/>
        </w:rPr>
        <w:t>8.3</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乙方对货物进行更换，若更换一次后，仍未达到要求的，甲方有权拒收货物或要求乙方退货，并要求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ascii="宋体" w:hAnsi="宋体"/>
          <w:bCs/>
          <w:sz w:val="24"/>
        </w:rPr>
      </w:pPr>
      <w:r>
        <w:rPr>
          <w:rFonts w:hint="eastAsia" w:ascii="宋体" w:hAnsi="宋体"/>
          <w:bCs/>
          <w:sz w:val="24"/>
        </w:rPr>
        <w:t xml:space="preserve">8.4 </w:t>
      </w:r>
      <w:r>
        <w:rPr>
          <w:rFonts w:ascii="宋体" w:hAnsi="宋体"/>
          <w:bCs/>
          <w:sz w:val="24"/>
        </w:rPr>
        <w:t>质保期内，如经乙方两次维修或更换，货物仍不能达到合同约定的质量标准，甲方有权向乙方退货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ascii="宋体" w:hAnsi="宋体"/>
          <w:bCs/>
          <w:sz w:val="24"/>
        </w:rPr>
      </w:pPr>
      <w:r>
        <w:rPr>
          <w:rFonts w:hint="eastAsia" w:ascii="宋体" w:hAnsi="宋体"/>
          <w:bCs/>
          <w:sz w:val="24"/>
        </w:rPr>
        <w:t>8.5 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ascii="宋体" w:hAnsi="宋体"/>
          <w:bCs/>
          <w:sz w:val="24"/>
        </w:rPr>
      </w:pPr>
      <w:r>
        <w:rPr>
          <w:rFonts w:hint="eastAsia" w:ascii="宋体" w:hAnsi="宋体"/>
          <w:bCs/>
          <w:sz w:val="24"/>
        </w:rPr>
        <w:t>8.6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ascii="宋体" w:hAnsi="宋体"/>
          <w:b/>
          <w:sz w:val="24"/>
        </w:rPr>
      </w:pPr>
      <w:r>
        <w:rPr>
          <w:rFonts w:hint="eastAsia" w:ascii="宋体" w:hAnsi="宋体"/>
          <w:b/>
          <w:sz w:val="24"/>
        </w:rPr>
        <w:t>第九条 送达条款</w:t>
      </w:r>
    </w:p>
    <w:p>
      <w:pPr>
        <w:adjustRightInd w:val="0"/>
        <w:spacing w:line="360" w:lineRule="auto"/>
        <w:ind w:firstLine="480" w:firstLineChars="200"/>
        <w:rPr>
          <w:rFonts w:ascii="宋体" w:hAnsi="宋体"/>
          <w:sz w:val="24"/>
        </w:rPr>
      </w:pPr>
      <w:r>
        <w:rPr>
          <w:rFonts w:hint="eastAsia" w:ascii="宋体" w:hAnsi="宋体"/>
          <w:sz w:val="24"/>
        </w:rPr>
        <w:t>9.1 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ascii="宋体" w:hAnsi="宋体"/>
          <w:sz w:val="24"/>
        </w:rPr>
      </w:pPr>
      <w:r>
        <w:rPr>
          <w:rFonts w:hint="eastAsia" w:ascii="宋体" w:hAnsi="宋体"/>
          <w:sz w:val="24"/>
        </w:rPr>
        <w:t xml:space="preserve">9.2 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ascii="宋体" w:hAnsi="宋体"/>
          <w:b/>
          <w:sz w:val="24"/>
        </w:rPr>
      </w:pPr>
      <w:r>
        <w:rPr>
          <w:rFonts w:hint="eastAsia" w:ascii="宋体" w:hAnsi="宋体"/>
          <w:b/>
          <w:sz w:val="24"/>
        </w:rPr>
        <w:t>第十条 争议解决</w:t>
      </w:r>
    </w:p>
    <w:p>
      <w:pPr>
        <w:adjustRightInd w:val="0"/>
        <w:spacing w:line="360" w:lineRule="auto"/>
        <w:ind w:firstLine="480" w:firstLineChars="200"/>
        <w:rPr>
          <w:rFonts w:ascii="宋体" w:hAnsi="宋体"/>
          <w:sz w:val="24"/>
        </w:rPr>
      </w:pPr>
      <w:r>
        <w:rPr>
          <w:rFonts w:hint="eastAsia" w:ascii="宋体" w:hAnsi="宋体"/>
          <w:sz w:val="24"/>
        </w:rPr>
        <w:t>10.1 本合同的签订、效力、履行及任何争议仅适用中华人民共和国法律。</w:t>
      </w:r>
    </w:p>
    <w:p>
      <w:pPr>
        <w:adjustRightInd w:val="0"/>
        <w:spacing w:line="360" w:lineRule="auto"/>
        <w:ind w:firstLine="480" w:firstLineChars="200"/>
        <w:rPr>
          <w:rFonts w:ascii="宋体" w:hAnsi="宋体"/>
          <w:sz w:val="24"/>
        </w:rPr>
      </w:pPr>
      <w:r>
        <w:rPr>
          <w:rFonts w:hint="eastAsia" w:ascii="宋体" w:hAnsi="宋体"/>
          <w:sz w:val="24"/>
        </w:rPr>
        <w:t>10.2 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ascii="宋体" w:hAnsi="宋体"/>
          <w:b/>
          <w:sz w:val="24"/>
        </w:rPr>
      </w:pPr>
      <w:r>
        <w:rPr>
          <w:rFonts w:hint="eastAsia" w:ascii="宋体" w:hAnsi="宋体"/>
          <w:b/>
          <w:sz w:val="24"/>
        </w:rPr>
        <w:t>第十一条 其  他</w:t>
      </w:r>
    </w:p>
    <w:p>
      <w:pPr>
        <w:adjustRightInd w:val="0"/>
        <w:spacing w:line="360" w:lineRule="auto"/>
        <w:ind w:firstLine="480" w:firstLineChars="200"/>
        <w:rPr>
          <w:rFonts w:ascii="宋体" w:hAnsi="宋体"/>
          <w:sz w:val="24"/>
        </w:rPr>
      </w:pPr>
      <w:r>
        <w:rPr>
          <w:rFonts w:hint="eastAsia" w:ascii="宋体" w:hAnsi="宋体"/>
          <w:sz w:val="24"/>
        </w:rPr>
        <w:t>11.1 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ascii="宋体" w:hAnsi="宋体"/>
          <w:sz w:val="24"/>
        </w:rPr>
      </w:pPr>
      <w:r>
        <w:rPr>
          <w:rFonts w:hint="eastAsia" w:ascii="宋体" w:hAnsi="宋体"/>
          <w:sz w:val="24"/>
        </w:rPr>
        <w:t>11.2 本合同经甲乙双方法定代表人或授权代表签字，并加盖公司印章生效。</w:t>
      </w:r>
    </w:p>
    <w:p>
      <w:pPr>
        <w:adjustRightInd w:val="0"/>
        <w:spacing w:line="360" w:lineRule="auto"/>
        <w:ind w:left="240" w:firstLine="240" w:firstLineChars="100"/>
        <w:rPr>
          <w:rFonts w:ascii="宋体" w:hAnsi="宋体"/>
          <w:sz w:val="24"/>
        </w:rPr>
      </w:pPr>
      <w:r>
        <w:rPr>
          <w:rFonts w:hint="eastAsia" w:ascii="宋体" w:hAnsi="宋体"/>
          <w:sz w:val="24"/>
        </w:rPr>
        <w:t>11.3 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ind w:firstLine="480"/>
        <w:rPr>
          <w:rFonts w:hint="eastAsia" w:ascii="宋体" w:hAnsi="宋体"/>
          <w:bCs/>
          <w:sz w:val="24"/>
        </w:rPr>
      </w:pPr>
      <w:r>
        <w:rPr>
          <w:rFonts w:hint="eastAsia" w:ascii="宋体" w:hAnsi="宋体"/>
          <w:bCs/>
          <w:sz w:val="24"/>
        </w:rPr>
        <w:t>11.4 本合同附件作为本合同不可分割的组成部分，与本合同具有同等法律效力。</w:t>
      </w:r>
    </w:p>
    <w:p>
      <w:pPr>
        <w:adjustRightInd w:val="0"/>
        <w:spacing w:line="360" w:lineRule="auto"/>
        <w:ind w:firstLine="480"/>
        <w:rPr>
          <w:rFonts w:hint="eastAsia" w:ascii="宋体" w:hAnsi="宋体"/>
          <w:bCs/>
          <w:sz w:val="24"/>
        </w:rPr>
      </w:pP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sz w:val="24"/>
        </w:rPr>
      </w:pPr>
      <w:r>
        <w:rPr>
          <w:rFonts w:hint="eastAsia"/>
          <w:sz w:val="24"/>
        </w:rPr>
        <w:t>收货地址：</w:t>
      </w:r>
    </w:p>
    <w:p>
      <w:pPr>
        <w:spacing w:line="460" w:lineRule="exact"/>
        <w:ind w:left="-179" w:leftChars="-257" w:hanging="361"/>
        <w:jc w:val="left"/>
        <w:rPr>
          <w:sz w:val="24"/>
        </w:rPr>
      </w:pPr>
      <w:r>
        <w:rPr>
          <w:rFonts w:hint="eastAsia"/>
          <w:sz w:val="24"/>
        </w:rPr>
        <w:t xml:space="preserve">本合同签订日期：  年  月  日    </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left"/>
        <w:rPr>
          <w:rFonts w:ascii="宋体" w:hAnsi="宋体"/>
          <w:b/>
          <w:sz w:val="24"/>
        </w:rPr>
      </w:pPr>
    </w:p>
    <w:p>
      <w:pPr>
        <w:spacing w:line="360" w:lineRule="auto"/>
        <w:ind w:firstLine="3360" w:firstLineChars="1400"/>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ZZhunYuan-M02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68518BF"/>
    <w:multiLevelType w:val="multilevel"/>
    <w:tmpl w:val="468518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6EAC189E"/>
    <w:multiLevelType w:val="singleLevel"/>
    <w:tmpl w:val="6EAC189E"/>
    <w:lvl w:ilvl="0" w:tentative="0">
      <w:start w:val="1"/>
      <w:numFmt w:val="decimal"/>
      <w:lvlText w:val="%1."/>
      <w:lvlJc w:val="left"/>
      <w:pPr>
        <w:tabs>
          <w:tab w:val="left" w:pos="312"/>
        </w:tabs>
      </w:pPr>
    </w:lvl>
  </w:abstractNum>
  <w:num w:numId="1">
    <w:abstractNumId w:val="5"/>
  </w:num>
  <w:num w:numId="2">
    <w:abstractNumId w:val="6"/>
  </w:num>
  <w:num w:numId="3">
    <w:abstractNumId w:val="4"/>
  </w:num>
  <w:num w:numId="4">
    <w:abstractNumId w:val="9"/>
  </w:num>
  <w:num w:numId="5">
    <w:abstractNumId w:val="8"/>
  </w:num>
  <w:num w:numId="6">
    <w:abstractNumId w:val="3"/>
  </w:num>
  <w:num w:numId="7">
    <w:abstractNumId w:val="1"/>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9C"/>
    <w:rsid w:val="001871EB"/>
    <w:rsid w:val="00261639"/>
    <w:rsid w:val="00266EBB"/>
    <w:rsid w:val="00320AAC"/>
    <w:rsid w:val="0054474D"/>
    <w:rsid w:val="00631157"/>
    <w:rsid w:val="006A3936"/>
    <w:rsid w:val="006B0EA4"/>
    <w:rsid w:val="00744199"/>
    <w:rsid w:val="007C4C44"/>
    <w:rsid w:val="00B2445B"/>
    <w:rsid w:val="00ED39E8"/>
    <w:rsid w:val="00EE639C"/>
    <w:rsid w:val="0FC33381"/>
    <w:rsid w:val="25781FF2"/>
    <w:rsid w:val="265402C4"/>
    <w:rsid w:val="27761C1E"/>
    <w:rsid w:val="30C14C59"/>
    <w:rsid w:val="31492F21"/>
    <w:rsid w:val="3F6B0CED"/>
    <w:rsid w:val="46F2742E"/>
    <w:rsid w:val="4C9811FB"/>
    <w:rsid w:val="57F67251"/>
    <w:rsid w:val="643A5227"/>
    <w:rsid w:val="7F36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Plain Text"/>
    <w:basedOn w:val="1"/>
    <w:link w:val="20"/>
    <w:qFormat/>
    <w:uiPriority w:val="0"/>
    <w:rPr>
      <w:rFonts w:ascii="宋体" w:hAnsi="Courier New" w:cs="Courier New"/>
      <w:szCs w:val="21"/>
    </w:rPr>
  </w:style>
  <w:style w:type="paragraph" w:styleId="7">
    <w:name w:val="Body Text Indent 2"/>
    <w:basedOn w:val="1"/>
    <w:link w:val="21"/>
    <w:unhideWhenUsed/>
    <w:qFormat/>
    <w:uiPriority w:val="0"/>
    <w:pPr>
      <w:spacing w:after="120" w:line="480" w:lineRule="auto"/>
      <w:ind w:left="420" w:leftChars="200"/>
    </w:pPr>
  </w:style>
  <w:style w:type="paragraph" w:styleId="8">
    <w:name w:val="Balloon Text"/>
    <w:basedOn w:val="1"/>
    <w:link w:val="28"/>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36" w:after="68"/>
      <w:jc w:val="left"/>
    </w:pPr>
    <w:rPr>
      <w:rFonts w:ascii="Verdana" w:hAnsi="Verdana" w:cs="宋体"/>
      <w:color w:val="333333"/>
      <w:kern w:val="0"/>
      <w:sz w:val="16"/>
      <w:szCs w:val="16"/>
    </w:rPr>
  </w:style>
  <w:style w:type="paragraph" w:styleId="12">
    <w:name w:val="Title"/>
    <w:basedOn w:val="1"/>
    <w:qFormat/>
    <w:uiPriority w:val="0"/>
    <w:pPr>
      <w:spacing w:before="240" w:after="60" w:line="360" w:lineRule="auto"/>
      <w:jc w:val="left"/>
      <w:outlineLvl w:val="0"/>
    </w:pPr>
    <w:rPr>
      <w:b/>
      <w:sz w:val="28"/>
      <w:szCs w:val="20"/>
    </w:rPr>
  </w:style>
  <w:style w:type="paragraph" w:styleId="13">
    <w:name w:val="annotation subject"/>
    <w:basedOn w:val="5"/>
    <w:next w:val="5"/>
    <w:link w:val="36"/>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character" w:customStyle="1" w:styleId="19">
    <w:name w:val="标题 1 字符"/>
    <w:basedOn w:val="16"/>
    <w:link w:val="2"/>
    <w:qFormat/>
    <w:uiPriority w:val="99"/>
    <w:rPr>
      <w:rFonts w:ascii="宋体" w:hAnsi="Times New Roman" w:eastAsia="宋体" w:cs="Times New Roman"/>
      <w:b/>
      <w:kern w:val="44"/>
      <w:sz w:val="32"/>
      <w:szCs w:val="20"/>
    </w:rPr>
  </w:style>
  <w:style w:type="character" w:customStyle="1" w:styleId="20">
    <w:name w:val="纯文本 字符"/>
    <w:basedOn w:val="16"/>
    <w:link w:val="6"/>
    <w:qFormat/>
    <w:uiPriority w:val="0"/>
    <w:rPr>
      <w:rFonts w:ascii="宋体" w:hAnsi="Courier New" w:eastAsia="宋体" w:cs="Courier New"/>
      <w:szCs w:val="21"/>
    </w:rPr>
  </w:style>
  <w:style w:type="character" w:customStyle="1" w:styleId="21">
    <w:name w:val="正文文本缩进 2 字符"/>
    <w:basedOn w:val="16"/>
    <w:link w:val="7"/>
    <w:qFormat/>
    <w:uiPriority w:val="0"/>
    <w:rPr>
      <w:rFonts w:ascii="Times New Roman" w:hAnsi="Times New Roman" w:eastAsia="宋体" w:cs="Times New Roman"/>
      <w:szCs w:val="24"/>
    </w:rPr>
  </w:style>
  <w:style w:type="character" w:customStyle="1" w:styleId="22">
    <w:name w:val="页脚 字符"/>
    <w:basedOn w:val="16"/>
    <w:link w:val="9"/>
    <w:qFormat/>
    <w:uiPriority w:val="99"/>
    <w:rPr>
      <w:rFonts w:ascii="Times New Roman" w:hAnsi="Times New Roman" w:eastAsia="宋体" w:cs="Times New Roman"/>
      <w:sz w:val="18"/>
      <w:szCs w:val="18"/>
    </w:rPr>
  </w:style>
  <w:style w:type="character" w:customStyle="1" w:styleId="23">
    <w:name w:val="页眉 字符"/>
    <w:basedOn w:val="16"/>
    <w:link w:val="10"/>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样式1"/>
    <w:basedOn w:val="6"/>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6">
    <w:name w:val="p0"/>
    <w:basedOn w:val="1"/>
    <w:qFormat/>
    <w:uiPriority w:val="0"/>
    <w:pPr>
      <w:widowControl/>
    </w:pPr>
    <w:rPr>
      <w:kern w:val="0"/>
      <w:szCs w:val="21"/>
    </w:rPr>
  </w:style>
  <w:style w:type="paragraph" w:customStyle="1" w:styleId="27">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8">
    <w:name w:val="批注框文本 字符"/>
    <w:basedOn w:val="16"/>
    <w:link w:val="8"/>
    <w:semiHidden/>
    <w:qFormat/>
    <w:uiPriority w:val="99"/>
    <w:rPr>
      <w:rFonts w:ascii="Times New Roman" w:hAnsi="Times New Roman" w:eastAsia="宋体" w:cs="Times New Roman"/>
      <w:sz w:val="18"/>
      <w:szCs w:val="18"/>
    </w:rPr>
  </w:style>
  <w:style w:type="paragraph" w:customStyle="1" w:styleId="29">
    <w:name w:val="样式3"/>
    <w:basedOn w:val="6"/>
    <w:qFormat/>
    <w:uiPriority w:val="0"/>
    <w:pPr>
      <w:spacing w:line="0" w:lineRule="atLeast"/>
      <w:outlineLvl w:val="0"/>
    </w:pPr>
    <w:rPr>
      <w:rFonts w:cs="Times New Roman"/>
      <w:sz w:val="28"/>
      <w:szCs w:val="24"/>
    </w:rPr>
  </w:style>
  <w:style w:type="paragraph" w:customStyle="1" w:styleId="30">
    <w:name w:val="无间隔1"/>
    <w:qFormat/>
    <w:uiPriority w:val="1"/>
    <w:pPr>
      <w:widowControl w:val="0"/>
      <w:spacing w:line="360" w:lineRule="auto"/>
      <w:ind w:firstLine="100" w:firstLineChars="100"/>
    </w:pPr>
    <w:rPr>
      <w:rFonts w:ascii="Times New Roman" w:hAnsi="Times New Roman" w:eastAsia="宋体" w:cs="Times New Roman"/>
      <w:b/>
      <w:kern w:val="2"/>
      <w:sz w:val="21"/>
      <w:szCs w:val="24"/>
      <w:lang w:val="en-US" w:eastAsia="zh-CN" w:bidi="ar-SA"/>
    </w:rPr>
  </w:style>
  <w:style w:type="paragraph" w:customStyle="1" w:styleId="31">
    <w:name w:val="设备标题"/>
    <w:basedOn w:val="1"/>
    <w:qFormat/>
    <w:uiPriority w:val="1"/>
    <w:pPr>
      <w:autoSpaceDE w:val="0"/>
      <w:autoSpaceDN w:val="0"/>
      <w:spacing w:before="39" w:line="480" w:lineRule="auto"/>
      <w:jc w:val="left"/>
    </w:pPr>
    <w:rPr>
      <w:rFonts w:ascii="宋体" w:hAnsi="宋体" w:cs="宋体"/>
      <w:b/>
      <w:kern w:val="0"/>
      <w:sz w:val="24"/>
      <w:szCs w:val="22"/>
      <w:lang w:val="zh-CN" w:bidi="zh-CN"/>
    </w:rPr>
  </w:style>
  <w:style w:type="paragraph" w:customStyle="1" w:styleId="32">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 w:type="table" w:customStyle="1" w:styleId="3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4">
    <w:name w:val="未处理的提及1"/>
    <w:basedOn w:val="16"/>
    <w:unhideWhenUsed/>
    <w:qFormat/>
    <w:uiPriority w:val="99"/>
    <w:rPr>
      <w:color w:val="605E5C"/>
      <w:shd w:val="clear" w:color="auto" w:fill="E1DFDD"/>
    </w:rPr>
  </w:style>
  <w:style w:type="character" w:customStyle="1" w:styleId="35">
    <w:name w:val="批注文字 字符"/>
    <w:basedOn w:val="16"/>
    <w:link w:val="5"/>
    <w:qFormat/>
    <w:uiPriority w:val="99"/>
    <w:rPr>
      <w:kern w:val="2"/>
      <w:sz w:val="21"/>
      <w:szCs w:val="24"/>
    </w:rPr>
  </w:style>
  <w:style w:type="character" w:customStyle="1" w:styleId="36">
    <w:name w:val="批注主题 字符"/>
    <w:basedOn w:val="35"/>
    <w:link w:val="13"/>
    <w:semiHidden/>
    <w:qFormat/>
    <w:uiPriority w:val="99"/>
    <w:rPr>
      <w:b/>
      <w:bCs/>
      <w:kern w:val="2"/>
      <w:sz w:val="21"/>
      <w:szCs w:val="24"/>
    </w:rPr>
  </w:style>
  <w:style w:type="character" w:customStyle="1" w:styleId="37">
    <w:name w:val="title4"/>
    <w:basedOn w:val="16"/>
    <w:qFormat/>
    <w:uiPriority w:val="0"/>
  </w:style>
  <w:style w:type="paragraph" w:customStyle="1" w:styleId="38">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9">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2432</Words>
  <Characters>13865</Characters>
  <Lines>115</Lines>
  <Paragraphs>32</Paragraphs>
  <TotalTime>0</TotalTime>
  <ScaleCrop>false</ScaleCrop>
  <LinksUpToDate>false</LinksUpToDate>
  <CharactersWithSpaces>16265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2021-09-28T09:17:00Z</dcterms:created>
  <dc:creator>朱水林</dc:creator>
  <cp:lastModifiedBy>红日初升</cp:lastModifiedBy>
  <dcterms:modified xsi:type="dcterms:W3CDTF">2021-11-19T08:43:20Z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2C7577A82B494302AA3F7A11F3D7326B</vt:lpwstr>
  </property>
</Properties>
</file>