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b/>
          <w:color w:val="auto"/>
          <w:sz w:val="24"/>
        </w:rPr>
      </w:pPr>
      <w:r>
        <w:rPr>
          <w:b/>
          <w:color w:val="auto"/>
          <w:sz w:val="24"/>
        </w:rPr>
        <w:t>一、配置要求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rial" w:hAnsi="宋体" w:cs="Arial"/>
          <w:color w:val="auto"/>
          <w:sz w:val="22"/>
          <w:szCs w:val="22"/>
        </w:rPr>
        <w:t>电感耦合等离子体串接质谱主机</w:t>
      </w:r>
      <w:r>
        <w:rPr>
          <w:rFonts w:ascii="Arial" w:hAnsi="宋体" w:cs="Arial"/>
          <w:color w:val="auto"/>
          <w:sz w:val="22"/>
          <w:szCs w:val="22"/>
        </w:rPr>
        <w:t>1</w:t>
      </w:r>
      <w:r>
        <w:rPr>
          <w:rFonts w:hint="eastAsia" w:ascii="Arial" w:hAnsi="宋体" w:cs="Arial"/>
          <w:color w:val="auto"/>
          <w:sz w:val="22"/>
          <w:szCs w:val="22"/>
        </w:rPr>
        <w:t>台</w:t>
      </w:r>
      <w:r>
        <w:rPr>
          <w:rFonts w:ascii="Arial" w:hAnsi="宋体" w:cs="Arial"/>
          <w:color w:val="auto"/>
          <w:sz w:val="22"/>
          <w:szCs w:val="22"/>
        </w:rPr>
        <w:t>(</w:t>
      </w:r>
      <w:r>
        <w:rPr>
          <w:rFonts w:hint="eastAsia" w:ascii="Arial" w:hAnsi="宋体" w:cs="Arial"/>
          <w:color w:val="auto"/>
          <w:sz w:val="22"/>
          <w:szCs w:val="22"/>
        </w:rPr>
        <w:t>含半导体控温、高盐进样系统、一级四极杆质量分析器、</w:t>
      </w:r>
      <w:r>
        <w:rPr>
          <w:rFonts w:ascii="Arial" w:hAnsi="宋体" w:cs="Arial"/>
          <w:color w:val="auto"/>
          <w:sz w:val="22"/>
          <w:szCs w:val="22"/>
        </w:rPr>
        <w:t>碰撞反应池系统</w:t>
      </w:r>
      <w:r>
        <w:rPr>
          <w:rFonts w:hint="eastAsia" w:ascii="Arial" w:hAnsi="宋体" w:cs="Arial"/>
          <w:color w:val="auto"/>
          <w:sz w:val="22"/>
          <w:szCs w:val="22"/>
        </w:rPr>
        <w:t>、二级四极杆质量分析器、检测器等</w:t>
      </w:r>
      <w:r>
        <w:rPr>
          <w:rFonts w:ascii="Arial" w:hAnsi="宋体" w:cs="Arial"/>
          <w:color w:val="auto"/>
          <w:sz w:val="22"/>
          <w:szCs w:val="22"/>
        </w:rPr>
        <w:t>)</w:t>
      </w:r>
      <w:r>
        <w:rPr>
          <w:rFonts w:hint="eastAsia" w:ascii="Arial" w:hAnsi="宋体" w:cs="Arial"/>
          <w:color w:val="auto"/>
          <w:sz w:val="22"/>
          <w:szCs w:val="22"/>
        </w:rPr>
        <w:t>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rial" w:hAnsi="宋体" w:cs="Arial"/>
          <w:color w:val="auto"/>
          <w:sz w:val="22"/>
          <w:szCs w:val="22"/>
        </w:rPr>
        <w:t>质谱原装操作软件</w:t>
      </w:r>
      <w:r>
        <w:rPr>
          <w:rFonts w:ascii="Arial" w:hAnsi="宋体" w:cs="Arial"/>
          <w:color w:val="auto"/>
          <w:sz w:val="22"/>
          <w:szCs w:val="22"/>
        </w:rPr>
        <w:t>1</w:t>
      </w:r>
      <w:r>
        <w:rPr>
          <w:rFonts w:hint="eastAsia" w:ascii="Arial" w:hAnsi="宋体" w:cs="Arial"/>
          <w:color w:val="auto"/>
          <w:sz w:val="22"/>
          <w:szCs w:val="22"/>
        </w:rPr>
        <w:t>套，同品牌纳米颗粒物分析软件1套；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rial" w:hAnsi="宋体" w:cs="Arial"/>
          <w:color w:val="auto"/>
          <w:sz w:val="22"/>
          <w:szCs w:val="22"/>
        </w:rPr>
        <w:t>有机加氧系统1套；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rial" w:hAnsi="宋体" w:cs="Arial"/>
          <w:color w:val="auto"/>
          <w:sz w:val="22"/>
          <w:szCs w:val="22"/>
        </w:rPr>
        <w:t>惰性进样系统1套；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rial" w:hAnsi="宋体" w:cs="Arial"/>
          <w:color w:val="auto"/>
          <w:sz w:val="22"/>
          <w:szCs w:val="22"/>
        </w:rPr>
        <w:t>耐酸阀门配置系统1套；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rial" w:hAnsi="宋体" w:cs="Arial"/>
          <w:color w:val="auto"/>
          <w:sz w:val="22"/>
          <w:szCs w:val="22"/>
        </w:rPr>
        <w:t>自动进样器（圆盘式设计）1套；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gilent TT Cond" w:hAnsi="Agilent TT Cond"/>
          <w:color w:val="auto"/>
        </w:rPr>
        <w:t>环</w:t>
      </w:r>
      <w:r>
        <w:rPr>
          <w:rFonts w:hint="eastAsia" w:ascii="Arial" w:hAnsi="宋体" w:cs="Arial"/>
          <w:color w:val="auto"/>
          <w:sz w:val="22"/>
          <w:szCs w:val="22"/>
        </w:rPr>
        <w:t>境工程-安装与场地改造配套1批；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rial" w:hAnsi="宋体" w:cs="Arial"/>
          <w:color w:val="auto"/>
          <w:sz w:val="22"/>
          <w:szCs w:val="22"/>
        </w:rPr>
        <w:t>循环冷却水机</w:t>
      </w:r>
      <w:r>
        <w:rPr>
          <w:rFonts w:ascii="Arial" w:hAnsi="宋体" w:cs="Arial"/>
          <w:color w:val="auto"/>
          <w:sz w:val="22"/>
          <w:szCs w:val="22"/>
        </w:rPr>
        <w:t>1</w:t>
      </w:r>
      <w:r>
        <w:rPr>
          <w:rFonts w:hint="eastAsia" w:ascii="Arial" w:hAnsi="宋体" w:cs="Arial"/>
          <w:color w:val="auto"/>
          <w:sz w:val="22"/>
          <w:szCs w:val="22"/>
        </w:rPr>
        <w:t>台；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hint="eastAsia" w:ascii="Arial" w:hAnsi="宋体" w:cs="Arial"/>
          <w:color w:val="auto"/>
          <w:sz w:val="22"/>
          <w:szCs w:val="22"/>
        </w:rPr>
        <w:t>原装</w:t>
      </w:r>
      <w:r>
        <w:rPr>
          <w:rFonts w:ascii="Arial" w:hAnsi="宋体" w:cs="Arial"/>
          <w:color w:val="auto"/>
          <w:sz w:val="22"/>
          <w:szCs w:val="22"/>
        </w:rPr>
        <w:t>ICP-MS</w:t>
      </w:r>
      <w:r>
        <w:rPr>
          <w:rFonts w:hint="eastAsia" w:ascii="Arial" w:hAnsi="宋体" w:cs="Arial"/>
          <w:color w:val="auto"/>
          <w:sz w:val="22"/>
          <w:szCs w:val="22"/>
        </w:rPr>
        <w:t>调谐液、多元素标准溶液、内标溶液各</w:t>
      </w:r>
      <w:r>
        <w:rPr>
          <w:rFonts w:ascii="Arial" w:hAnsi="宋体" w:cs="Arial"/>
          <w:color w:val="auto"/>
          <w:sz w:val="22"/>
          <w:szCs w:val="22"/>
        </w:rPr>
        <w:t>2</w:t>
      </w:r>
      <w:r>
        <w:rPr>
          <w:rFonts w:hint="eastAsia" w:ascii="Arial" w:hAnsi="宋体" w:cs="Arial"/>
          <w:color w:val="auto"/>
          <w:sz w:val="22"/>
          <w:szCs w:val="22"/>
        </w:rPr>
        <w:t>套；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Arial" w:hAnsi="宋体" w:cs="Arial"/>
          <w:color w:val="auto"/>
          <w:sz w:val="22"/>
          <w:szCs w:val="22"/>
        </w:rPr>
      </w:pPr>
      <w:r>
        <w:rPr>
          <w:rFonts w:ascii="Arial" w:hAnsi="宋体" w:cs="Arial"/>
          <w:color w:val="auto"/>
          <w:sz w:val="22"/>
          <w:szCs w:val="22"/>
        </w:rPr>
        <w:t>耗材1批（</w:t>
      </w:r>
      <w:r>
        <w:rPr>
          <w:rFonts w:hint="eastAsia" w:ascii="Arial" w:hAnsi="宋体" w:cs="Arial"/>
          <w:color w:val="auto"/>
          <w:sz w:val="22"/>
          <w:szCs w:val="22"/>
        </w:rPr>
        <w:t>采样锥1个、截取锥</w:t>
      </w:r>
      <w:r>
        <w:rPr>
          <w:rFonts w:hint="eastAsia" w:ascii="Arial" w:hAnsi="宋体" w:cs="Arial"/>
          <w:color w:val="auto"/>
          <w:sz w:val="22"/>
          <w:szCs w:val="22"/>
        </w:rPr>
        <w:t>1</w:t>
      </w:r>
      <w:r>
        <w:rPr>
          <w:rFonts w:hint="eastAsia" w:ascii="Arial" w:hAnsi="宋体" w:cs="Arial"/>
          <w:color w:val="auto"/>
          <w:sz w:val="22"/>
          <w:szCs w:val="22"/>
        </w:rPr>
        <w:t>个；铂采样锥</w:t>
      </w:r>
      <w:r>
        <w:rPr>
          <w:rFonts w:ascii="Arial" w:hAnsi="宋体" w:cs="Arial"/>
          <w:color w:val="auto"/>
          <w:sz w:val="22"/>
          <w:szCs w:val="22"/>
        </w:rPr>
        <w:t>2</w:t>
      </w:r>
      <w:r>
        <w:rPr>
          <w:rFonts w:hint="eastAsia" w:ascii="Arial" w:hAnsi="宋体" w:cs="Arial"/>
          <w:color w:val="auto"/>
          <w:sz w:val="22"/>
          <w:szCs w:val="22"/>
        </w:rPr>
        <w:t>个、铂截取锥</w:t>
      </w:r>
      <w:r>
        <w:rPr>
          <w:rFonts w:ascii="Arial" w:hAnsi="宋体" w:cs="Arial"/>
          <w:color w:val="auto"/>
          <w:sz w:val="22"/>
          <w:szCs w:val="22"/>
        </w:rPr>
        <w:t>2</w:t>
      </w:r>
      <w:r>
        <w:rPr>
          <w:rFonts w:hint="eastAsia" w:ascii="Arial" w:hAnsi="宋体" w:cs="Arial"/>
          <w:color w:val="auto"/>
          <w:sz w:val="22"/>
          <w:szCs w:val="22"/>
        </w:rPr>
        <w:t>个；</w:t>
      </w:r>
      <w:r>
        <w:rPr>
          <w:rFonts w:ascii="Arial" w:hAnsi="宋体" w:cs="Arial"/>
          <w:color w:val="auto"/>
          <w:sz w:val="22"/>
          <w:szCs w:val="22"/>
        </w:rPr>
        <w:t>一体式石英炬管2根，蠕动泵进样管、废液管和内标管各24根，采样锥O型圈6个，PFA样品管10米，超纯机械泵油2升等）</w:t>
      </w:r>
    </w:p>
    <w:p>
      <w:pPr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>二、技术</w:t>
      </w:r>
      <w:r>
        <w:rPr>
          <w:rFonts w:hint="eastAsia"/>
          <w:b/>
          <w:color w:val="auto"/>
          <w:sz w:val="24"/>
        </w:rPr>
        <w:t>参数</w:t>
      </w:r>
      <w:r>
        <w:rPr>
          <w:b/>
          <w:color w:val="auto"/>
          <w:sz w:val="24"/>
        </w:rPr>
        <w:t>要求</w:t>
      </w:r>
    </w:p>
    <w:p>
      <w:pPr>
        <w:pStyle w:val="2"/>
        <w:numPr>
          <w:ilvl w:val="0"/>
          <w:numId w:val="2"/>
        </w:numPr>
        <w:spacing w:before="0" w:beforeAutospacing="0" w:after="0" w:afterAutospacing="0"/>
        <w:rPr>
          <w:rFonts w:eastAsia="宋体"/>
          <w:b/>
          <w:color w:val="auto"/>
          <w:sz w:val="21"/>
          <w:szCs w:val="21"/>
        </w:rPr>
      </w:pPr>
      <w:r>
        <w:rPr>
          <w:rFonts w:eastAsia="宋体"/>
          <w:b/>
          <w:color w:val="auto"/>
          <w:sz w:val="21"/>
          <w:szCs w:val="21"/>
        </w:rPr>
        <w:t>硬件参数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雾化器：耐高盐、高效石英同心雾化器；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蠕动泵：须采用耐腐蚀金属材质的泵轴，不应采用非金属泵轴以避免形变；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雾室：U型双层通道石英雾室，不得使用落后的旋流雾化室，且必须配置全包裹式半导体制冷装置；</w:t>
      </w:r>
      <w:r>
        <w:rPr>
          <w:rFonts w:hint="eastAsia" w:eastAsia="宋体"/>
          <w:color w:val="auto"/>
          <w:sz w:val="21"/>
          <w:szCs w:val="21"/>
        </w:rPr>
        <w:t>（须提供模块图片作为证明）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整机气路控制：进样系统配备不少于</w:t>
      </w:r>
      <w:r>
        <w:rPr>
          <w:rFonts w:eastAsia="宋体"/>
          <w:color w:val="auto"/>
          <w:sz w:val="21"/>
          <w:szCs w:val="21"/>
        </w:rPr>
        <w:t>5个</w:t>
      </w:r>
      <w:r>
        <w:rPr>
          <w:rFonts w:eastAsia="宋体"/>
          <w:color w:val="auto"/>
          <w:sz w:val="21"/>
          <w:szCs w:val="21"/>
        </w:rPr>
        <w:t>高精度气体质量流量计，碰撞反应池配备不少于</w:t>
      </w:r>
      <w:r>
        <w:rPr>
          <w:rFonts w:eastAsia="宋体"/>
          <w:color w:val="auto"/>
          <w:sz w:val="21"/>
          <w:szCs w:val="21"/>
        </w:rPr>
        <w:t>4个</w:t>
      </w:r>
      <w:r>
        <w:rPr>
          <w:rFonts w:eastAsia="宋体"/>
          <w:color w:val="auto"/>
          <w:sz w:val="21"/>
          <w:szCs w:val="21"/>
        </w:rPr>
        <w:t>高精度气体质量流量计；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气路设置：应采用气瓶与仪器主机分开房间放置的设计，避免使气瓶置于主机内的嵌入设计，从而减低气瓶漏气带来的实验室安全风险；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炬管：一体式大内径石英炬管，中心管内径不得小于2.5mm，保证复杂样品的解离效果，安装连接处无须使用O圈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接口：镍制样品锥和截取锥组成的接口，要求锥数量≤2个，为防过多基体进入后续质谱系统，要求在保证灵敏度的前提下锥孔径尽可能小，采样锥孔径≤1.0mm，截取锥孔径≤0.45mm；</w:t>
      </w:r>
      <w:r>
        <w:rPr>
          <w:rFonts w:hint="eastAsia" w:eastAsia="宋体"/>
          <w:color w:val="auto"/>
          <w:sz w:val="21"/>
          <w:szCs w:val="21"/>
        </w:rPr>
        <w:t>无需使用截取锥嵌片或超锥等额外耗材</w:t>
      </w:r>
      <w:r>
        <w:rPr>
          <w:rFonts w:eastAsia="宋体"/>
          <w:color w:val="auto"/>
          <w:sz w:val="21"/>
          <w:szCs w:val="21"/>
        </w:rPr>
        <w:t>；采样锥与截取锥之间不得使用任何气体；</w:t>
      </w:r>
    </w:p>
    <w:p>
      <w:pPr>
        <w:pStyle w:val="5"/>
        <w:numPr>
          <w:ilvl w:val="1"/>
          <w:numId w:val="3"/>
        </w:numPr>
        <w:ind w:firstLineChars="0"/>
        <w:rPr>
          <w:color w:val="auto"/>
          <w:szCs w:val="21"/>
        </w:rPr>
      </w:pPr>
      <w:r>
        <w:rPr>
          <w:rFonts w:hint="eastAsia"/>
          <w:color w:val="auto"/>
          <w:kern w:val="0"/>
          <w:szCs w:val="21"/>
        </w:rPr>
        <w:t>有机加氧系统：须配置有机加氧系统一套，组件包括控制氧气流速的气体质量流量计、气路接口、铂锥，及其他必要的组成整套有机加氧系统的组件，以实现纯有机物直接进样。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离子源：数控式、固态射频发生器，射频频率≤27.12 MHz，最大功率不得低于1500W，射频线圈必须水冷设计；</w:t>
      </w:r>
      <w:r>
        <w:rPr>
          <w:rFonts w:hint="eastAsia" w:eastAsia="宋体"/>
          <w:color w:val="auto"/>
          <w:sz w:val="21"/>
          <w:szCs w:val="21"/>
        </w:rPr>
        <w:t>能够实现冷焰、暖焰、热焰三种模式进行切换；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二次放电消除技术：必须具备屏蔽炬物理接地技术</w:t>
      </w:r>
      <w:r>
        <w:rPr>
          <w:rFonts w:hint="eastAsia" w:eastAsia="宋体"/>
          <w:color w:val="auto"/>
          <w:sz w:val="21"/>
          <w:szCs w:val="21"/>
        </w:rPr>
        <w:t>（</w:t>
      </w:r>
      <w:r>
        <w:rPr>
          <w:rFonts w:eastAsia="宋体"/>
          <w:color w:val="auto"/>
          <w:sz w:val="21"/>
          <w:szCs w:val="21"/>
        </w:rPr>
        <w:t>须提供屏蔽炬实物图证明</w:t>
      </w:r>
      <w:r>
        <w:rPr>
          <w:rFonts w:hint="eastAsia" w:eastAsia="宋体"/>
          <w:color w:val="auto"/>
          <w:sz w:val="21"/>
          <w:szCs w:val="21"/>
        </w:rPr>
        <w:t>）</w:t>
      </w:r>
      <w:r>
        <w:rPr>
          <w:rFonts w:eastAsia="宋体"/>
          <w:color w:val="auto"/>
          <w:sz w:val="21"/>
          <w:szCs w:val="21"/>
        </w:rPr>
        <w:t>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离子透镜：必须具备</w:t>
      </w:r>
      <w:r>
        <w:rPr>
          <w:rFonts w:hint="eastAsia" w:eastAsia="宋体"/>
          <w:color w:val="auto"/>
          <w:sz w:val="21"/>
          <w:szCs w:val="21"/>
        </w:rPr>
        <w:t>由2</w:t>
      </w:r>
      <w:r>
        <w:rPr>
          <w:rFonts w:eastAsia="宋体"/>
          <w:color w:val="auto"/>
          <w:sz w:val="21"/>
          <w:szCs w:val="21"/>
        </w:rPr>
        <w:t>个提取透镜</w:t>
      </w:r>
      <w:r>
        <w:rPr>
          <w:rFonts w:hint="eastAsia" w:eastAsia="宋体"/>
          <w:color w:val="auto"/>
          <w:sz w:val="21"/>
          <w:szCs w:val="21"/>
        </w:rPr>
        <w:t>和偏转透镜组成的透镜系统</w:t>
      </w:r>
      <w:r>
        <w:rPr>
          <w:rFonts w:eastAsia="宋体"/>
          <w:color w:val="auto"/>
          <w:sz w:val="21"/>
          <w:szCs w:val="21"/>
        </w:rPr>
        <w:t>，</w:t>
      </w:r>
      <w:r>
        <w:rPr>
          <w:rFonts w:hint="eastAsia" w:eastAsia="宋体"/>
          <w:color w:val="auto"/>
          <w:sz w:val="21"/>
          <w:szCs w:val="21"/>
        </w:rPr>
        <w:t>偏转透镜应设计放置于碰撞池前</w:t>
      </w:r>
      <w:r>
        <w:rPr>
          <w:rFonts w:eastAsia="宋体"/>
          <w:color w:val="auto"/>
          <w:sz w:val="21"/>
          <w:szCs w:val="21"/>
        </w:rPr>
        <w:t>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一级四极杆质量分析器Q1：必须是与主四极杆（二级四极杆）长度规格相同的双曲面四极杆，可以设定精确过滤质量数，分辨率0</w:t>
      </w:r>
      <w:r>
        <w:rPr>
          <w:rFonts w:eastAsia="宋体"/>
          <w:color w:val="auto"/>
          <w:sz w:val="21"/>
          <w:szCs w:val="21"/>
        </w:rPr>
        <w:t>.3</w:t>
      </w:r>
      <w:r>
        <w:rPr>
          <w:rFonts w:hint="eastAsia" w:eastAsia="宋体"/>
          <w:color w:val="auto"/>
          <w:sz w:val="21"/>
          <w:szCs w:val="21"/>
        </w:rPr>
        <w:t>-</w:t>
      </w:r>
      <w:r>
        <w:rPr>
          <w:rFonts w:eastAsia="宋体"/>
          <w:color w:val="auto"/>
          <w:sz w:val="21"/>
          <w:szCs w:val="21"/>
        </w:rPr>
        <w:t>1.0</w:t>
      </w:r>
      <w:r>
        <w:rPr>
          <w:rFonts w:hint="eastAsia" w:eastAsia="宋体"/>
          <w:color w:val="auto"/>
          <w:sz w:val="21"/>
          <w:szCs w:val="21"/>
        </w:rPr>
        <w:t>amu。</w:t>
      </w:r>
    </w:p>
    <w:p>
      <w:pPr>
        <w:pStyle w:val="2"/>
        <w:numPr>
          <w:ilvl w:val="2"/>
          <w:numId w:val="4"/>
        </w:numPr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驱动频率：2.8~3.0MHz；</w:t>
      </w:r>
    </w:p>
    <w:p>
      <w:pPr>
        <w:pStyle w:val="2"/>
        <w:numPr>
          <w:ilvl w:val="2"/>
          <w:numId w:val="4"/>
        </w:numPr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质量范围：至少包含2-255amu；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碰撞/反应池：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要求池内采用八极杆设计，具有最佳离子聚焦及传输效率；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碰撞反应池具有温控功能，可通过软件设置池内温度，控温范围55~95℃，0.1℃步进可调；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碰撞/反应池至少</w:t>
      </w:r>
      <w:r>
        <w:rPr>
          <w:rFonts w:hint="eastAsia" w:eastAsia="宋体"/>
          <w:color w:val="auto"/>
          <w:sz w:val="21"/>
          <w:szCs w:val="21"/>
        </w:rPr>
        <w:t>带有</w:t>
      </w:r>
      <w:r>
        <w:rPr>
          <w:rFonts w:hint="eastAsia" w:eastAsia="宋体"/>
          <w:color w:val="auto"/>
          <w:sz w:val="21"/>
          <w:szCs w:val="21"/>
        </w:rPr>
        <w:t>四路</w:t>
      </w:r>
      <w:r>
        <w:rPr>
          <w:rFonts w:hint="eastAsia" w:eastAsia="宋体"/>
          <w:color w:val="auto"/>
          <w:sz w:val="21"/>
          <w:szCs w:val="21"/>
        </w:rPr>
        <w:t>独立的气体通路，可使用</w:t>
      </w:r>
      <w:r>
        <w:rPr>
          <w:rFonts w:eastAsia="宋体"/>
          <w:color w:val="auto"/>
          <w:sz w:val="21"/>
          <w:szCs w:val="21"/>
        </w:rPr>
        <w:t>三种工作模式，标准模式（No Gas）、氦气碰撞模式（KED）、高能解离模式或反应模式，不同模式切换时间小于3秒；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碰撞/反应气体流速可达12 mL/min；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二级四极杆质量分析器Q</w:t>
      </w:r>
      <w:r>
        <w:rPr>
          <w:rFonts w:eastAsia="宋体"/>
          <w:color w:val="auto"/>
          <w:sz w:val="21"/>
          <w:szCs w:val="21"/>
        </w:rPr>
        <w:t>2：采用Mo材质双曲面四极杆，提供最理想电场分布和最佳丰度灵敏度；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四极杆驱动频率不得低于2.8 MHz，驱动频率越大越好</w:t>
      </w:r>
      <w:r>
        <w:rPr>
          <w:rFonts w:hint="eastAsia" w:eastAsia="宋体"/>
          <w:color w:val="auto"/>
          <w:sz w:val="21"/>
          <w:szCs w:val="21"/>
        </w:rPr>
        <w:t>。（</w:t>
      </w:r>
      <w:r>
        <w:rPr>
          <w:rFonts w:eastAsia="宋体"/>
          <w:color w:val="auto"/>
          <w:sz w:val="21"/>
          <w:szCs w:val="21"/>
        </w:rPr>
        <w:t>须提供</w:t>
      </w:r>
      <w:r>
        <w:rPr>
          <w:rFonts w:hint="eastAsia" w:eastAsia="宋体"/>
          <w:color w:val="auto"/>
          <w:sz w:val="21"/>
          <w:szCs w:val="21"/>
        </w:rPr>
        <w:t>品牌厂家盖章的官方发表技术</w:t>
      </w:r>
      <w:r>
        <w:rPr>
          <w:rFonts w:eastAsia="宋体"/>
          <w:color w:val="auto"/>
          <w:sz w:val="21"/>
          <w:szCs w:val="21"/>
        </w:rPr>
        <w:t>文件</w:t>
      </w:r>
      <w:r>
        <w:rPr>
          <w:rFonts w:hint="eastAsia" w:eastAsia="宋体"/>
          <w:color w:val="auto"/>
          <w:sz w:val="21"/>
          <w:szCs w:val="21"/>
        </w:rPr>
        <w:t>作为</w:t>
      </w:r>
      <w:r>
        <w:rPr>
          <w:rFonts w:eastAsia="宋体"/>
          <w:color w:val="auto"/>
          <w:sz w:val="21"/>
          <w:szCs w:val="21"/>
        </w:rPr>
        <w:t>证明</w:t>
      </w:r>
      <w:r>
        <w:rPr>
          <w:rFonts w:hint="eastAsia" w:eastAsia="宋体"/>
          <w:color w:val="auto"/>
          <w:sz w:val="21"/>
          <w:szCs w:val="21"/>
        </w:rPr>
        <w:t>）</w:t>
      </w:r>
      <w:r>
        <w:rPr>
          <w:rFonts w:eastAsia="宋体"/>
          <w:color w:val="auto"/>
          <w:sz w:val="21"/>
          <w:szCs w:val="21"/>
        </w:rPr>
        <w:t>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四极杆质量数范围：至少涵盖2~258 amu；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检测器：采用脉冲模拟双模式电子倍增器，检测器每秒离子计数范围必须达到0.1cps~1×1010cps；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耐酸阀系统：应对设备真空阀门进行耐强酸升级，使其可耐受硫酸、磷酸等强酸的长期分析；</w:t>
      </w:r>
    </w:p>
    <w:p>
      <w:pPr>
        <w:pStyle w:val="2"/>
        <w:numPr>
          <w:ilvl w:val="1"/>
          <w:numId w:val="3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自动进样器：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同品牌旋转圆盘式自动进样器（须提供实物图片作为证明）；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8</w:t>
      </w:r>
      <w:r>
        <w:rPr>
          <w:rFonts w:eastAsia="宋体"/>
          <w:color w:val="auto"/>
          <w:sz w:val="21"/>
          <w:szCs w:val="21"/>
        </w:rPr>
        <w:t>9</w:t>
      </w:r>
      <w:r>
        <w:rPr>
          <w:rFonts w:hint="eastAsia" w:eastAsia="宋体"/>
          <w:color w:val="auto"/>
          <w:sz w:val="21"/>
          <w:szCs w:val="21"/>
        </w:rPr>
        <w:t>位样品瓶位；可以适配2-50mL的样品瓶，灵活应对不同规格样品瓶；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可实现自吸进样，无需使用蠕动泵，以提高稳定性；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包含PFA材质采样针；</w:t>
      </w:r>
    </w:p>
    <w:p>
      <w:pPr>
        <w:pStyle w:val="2"/>
        <w:numPr>
          <w:ilvl w:val="2"/>
          <w:numId w:val="4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包含密封罩，减少空气中颗粒物沉降对样品带来的影响；</w:t>
      </w:r>
    </w:p>
    <w:p>
      <w:pPr>
        <w:pStyle w:val="2"/>
        <w:numPr>
          <w:ilvl w:val="0"/>
          <w:numId w:val="4"/>
        </w:numPr>
        <w:spacing w:before="0" w:beforeAutospacing="0" w:after="0" w:afterAutospacing="0"/>
        <w:rPr>
          <w:rFonts w:eastAsia="宋体"/>
          <w:color w:val="auto"/>
          <w:kern w:val="2"/>
          <w:sz w:val="21"/>
          <w:szCs w:val="21"/>
        </w:rPr>
      </w:pPr>
      <w:r>
        <w:rPr>
          <w:rFonts w:hint="eastAsia" w:eastAsia="宋体"/>
          <w:b/>
          <w:bCs/>
          <w:color w:val="auto"/>
          <w:sz w:val="21"/>
          <w:szCs w:val="21"/>
        </w:rPr>
        <w:t>特殊应用模块：</w:t>
      </w:r>
    </w:p>
    <w:p>
      <w:pPr>
        <w:pStyle w:val="2"/>
        <w:numPr>
          <w:ilvl w:val="1"/>
          <w:numId w:val="4"/>
        </w:numPr>
        <w:spacing w:before="0" w:beforeAutospacing="0" w:after="0" w:afterAutospacing="0"/>
        <w:jc w:val="both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高盐进样系统：仪器配置全自动在线气体稀释装置，</w:t>
      </w:r>
      <w:r>
        <w:rPr>
          <w:rFonts w:hint="eastAsia" w:eastAsia="宋体"/>
          <w:color w:val="auto"/>
          <w:sz w:val="21"/>
          <w:szCs w:val="21"/>
        </w:rPr>
        <w:t>将基质耐受性提高到</w:t>
      </w:r>
      <w:r>
        <w:rPr>
          <w:rFonts w:eastAsia="宋体"/>
          <w:color w:val="auto"/>
          <w:sz w:val="21"/>
          <w:szCs w:val="21"/>
        </w:rPr>
        <w:t xml:space="preserve"> 25% </w:t>
      </w:r>
      <w:r>
        <w:rPr>
          <w:rFonts w:hint="eastAsia" w:eastAsia="宋体"/>
          <w:color w:val="auto"/>
          <w:sz w:val="21"/>
          <w:szCs w:val="21"/>
        </w:rPr>
        <w:t>的总溶解态固体（必须提供产品样本此项描述作为证明）</w:t>
      </w:r>
      <w:r>
        <w:rPr>
          <w:rFonts w:hint="eastAsia" w:eastAsia="宋体"/>
          <w:color w:val="auto"/>
          <w:sz w:val="21"/>
          <w:szCs w:val="21"/>
        </w:rPr>
        <w:t>；此功能</w:t>
      </w:r>
      <w:r>
        <w:rPr>
          <w:rFonts w:eastAsia="宋体"/>
          <w:color w:val="auto"/>
          <w:sz w:val="21"/>
          <w:szCs w:val="21"/>
        </w:rPr>
        <w:t>可在矩管之前把含25% NaCl的样品的基体稀释到0.3% NaCl以内，保证接口区域与质谱区域不受高基体污染。具有预设稀释倍数和稀释气体流量手动调节两种工作模式；</w:t>
      </w:r>
      <w:r>
        <w:rPr>
          <w:rFonts w:hint="eastAsia" w:eastAsia="宋体"/>
          <w:color w:val="auto"/>
          <w:sz w:val="21"/>
          <w:szCs w:val="21"/>
        </w:rPr>
        <w:t>（须提供两种工作模式的软件截图作为证明）</w:t>
      </w:r>
    </w:p>
    <w:p>
      <w:pPr>
        <w:pStyle w:val="2"/>
        <w:numPr>
          <w:ilvl w:val="1"/>
          <w:numId w:val="4"/>
        </w:numPr>
        <w:spacing w:before="0" w:beforeAutospacing="0" w:after="0" w:afterAutospacing="0"/>
        <w:jc w:val="both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惰性进样系统：须额外具备可耐受氢氟酸直接进样的进样系统一套，组件包括P</w:t>
      </w:r>
      <w:r>
        <w:rPr>
          <w:rFonts w:eastAsia="宋体"/>
          <w:color w:val="auto"/>
          <w:sz w:val="21"/>
          <w:szCs w:val="21"/>
        </w:rPr>
        <w:t>FA</w:t>
      </w:r>
      <w:r>
        <w:rPr>
          <w:rFonts w:hint="eastAsia" w:eastAsia="宋体"/>
          <w:color w:val="auto"/>
          <w:sz w:val="21"/>
          <w:szCs w:val="21"/>
        </w:rPr>
        <w:t>雾化器、P</w:t>
      </w:r>
      <w:r>
        <w:rPr>
          <w:rFonts w:eastAsia="宋体"/>
          <w:color w:val="auto"/>
          <w:sz w:val="21"/>
          <w:szCs w:val="21"/>
        </w:rPr>
        <w:t>FA</w:t>
      </w:r>
      <w:r>
        <w:rPr>
          <w:rFonts w:hint="eastAsia" w:eastAsia="宋体"/>
          <w:color w:val="auto"/>
          <w:sz w:val="21"/>
          <w:szCs w:val="21"/>
        </w:rPr>
        <w:t>雾化室、P</w:t>
      </w:r>
      <w:r>
        <w:rPr>
          <w:rFonts w:eastAsia="宋体"/>
          <w:color w:val="auto"/>
          <w:sz w:val="21"/>
          <w:szCs w:val="21"/>
        </w:rPr>
        <w:t>FA</w:t>
      </w:r>
      <w:r>
        <w:rPr>
          <w:rFonts w:hint="eastAsia" w:eastAsia="宋体"/>
          <w:color w:val="auto"/>
          <w:sz w:val="21"/>
          <w:szCs w:val="21"/>
        </w:rPr>
        <w:t>炬管及连接管、蓝宝石或铂金中心管，及其他必要的组成整套惰性进样系统的组件；该系统应与高盐进样系统相兼容，两者可同时使用；</w:t>
      </w:r>
    </w:p>
    <w:p>
      <w:pPr>
        <w:pStyle w:val="5"/>
        <w:numPr>
          <w:ilvl w:val="1"/>
          <w:numId w:val="4"/>
        </w:numPr>
        <w:ind w:firstLineChars="0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同品牌纳米颗粒物分析模块：</w:t>
      </w:r>
    </w:p>
    <w:p>
      <w:pPr>
        <w:pStyle w:val="5"/>
        <w:numPr>
          <w:ilvl w:val="2"/>
          <w:numId w:val="4"/>
        </w:numPr>
        <w:ind w:firstLineChars="0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必须具备采用0</w:t>
      </w:r>
      <w:r>
        <w:rPr>
          <w:color w:val="auto"/>
          <w:kern w:val="0"/>
          <w:szCs w:val="21"/>
        </w:rPr>
        <w:t>.1</w:t>
      </w:r>
      <w:r>
        <w:rPr>
          <w:rFonts w:hint="eastAsia"/>
          <w:color w:val="auto"/>
          <w:kern w:val="0"/>
          <w:szCs w:val="21"/>
        </w:rPr>
        <w:t>ms最小驻留时间采集单纳米颗粒信号并与溶解态金属信号分离的能力。（须提供半导体制程化学品中测定Ag、Fe3O4、Al2O3、Au 和 SiO2单纳米颗粒的品牌厂家官方应用文献作为证明）</w:t>
      </w:r>
    </w:p>
    <w:p>
      <w:pPr>
        <w:pStyle w:val="5"/>
        <w:numPr>
          <w:ilvl w:val="2"/>
          <w:numId w:val="4"/>
        </w:numPr>
        <w:ind w:firstLineChars="0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处理软件具备通过单纳米颗粒信号计算纳米颗粒的粒径大小、粒径分布、颗粒物浓度等表征信息的能力。（须提供展示上述表征信息的软件截图作为证明）</w:t>
      </w:r>
    </w:p>
    <w:p>
      <w:pPr>
        <w:pStyle w:val="2"/>
        <w:numPr>
          <w:ilvl w:val="1"/>
          <w:numId w:val="4"/>
        </w:numPr>
        <w:spacing w:before="0" w:beforeAutospacing="0" w:after="0" w:afterAutospacing="0"/>
        <w:jc w:val="both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同品牌联机方案的扩展：为了扩展环境、水质、食品、生物、材料等领域的分离手段，必须具备同品牌气相色谱仪、同品牌液相色谱仪和同品牌毛细管电泳仪的联机扩展能力，具备商品化的成熟联机接口，并且联机系统同一套软件控制和显示。（须提供联机设备型号样本和联机照片和同一套控制的软件界面截图）</w:t>
      </w:r>
    </w:p>
    <w:p>
      <w:pPr>
        <w:pStyle w:val="5"/>
        <w:numPr>
          <w:ilvl w:val="0"/>
          <w:numId w:val="5"/>
        </w:numPr>
        <w:ind w:firstLineChars="0"/>
        <w:rPr>
          <w:b/>
          <w:color w:val="auto"/>
          <w:kern w:val="0"/>
          <w:szCs w:val="21"/>
        </w:rPr>
      </w:pPr>
      <w:r>
        <w:rPr>
          <w:b/>
          <w:color w:val="auto"/>
          <w:szCs w:val="21"/>
        </w:rPr>
        <w:t>应用要求</w:t>
      </w:r>
      <w:r>
        <w:rPr>
          <w:rFonts w:hint="eastAsia"/>
          <w:b/>
          <w:color w:val="auto"/>
          <w:kern w:val="0"/>
          <w:szCs w:val="21"/>
        </w:rPr>
        <w:t>（须作为设备安装后的现场验收条款）</w:t>
      </w:r>
      <w:r>
        <w:rPr>
          <w:b/>
          <w:color w:val="auto"/>
          <w:szCs w:val="21"/>
        </w:rPr>
        <w:t>：</w:t>
      </w:r>
    </w:p>
    <w:p>
      <w:pPr>
        <w:pStyle w:val="2"/>
        <w:numPr>
          <w:ilvl w:val="1"/>
          <w:numId w:val="5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ascii="Segoe UI Symbol" w:hAnsi="Segoe UI Symbol" w:eastAsia="宋体" w:cs="Segoe UI Symbol"/>
          <w:color w:val="auto"/>
          <w:sz w:val="21"/>
          <w:szCs w:val="21"/>
        </w:rPr>
        <w:t>光刻胶金属污染物</w:t>
      </w:r>
      <w:r>
        <w:rPr>
          <w:rFonts w:eastAsia="宋体"/>
          <w:color w:val="auto"/>
          <w:sz w:val="21"/>
          <w:szCs w:val="21"/>
        </w:rPr>
        <w:t>分析能力：</w:t>
      </w:r>
      <w:r>
        <w:rPr>
          <w:rFonts w:hint="eastAsia" w:eastAsia="宋体"/>
          <w:color w:val="auto"/>
          <w:sz w:val="21"/>
          <w:szCs w:val="21"/>
        </w:rPr>
        <w:t>在千级洁净室条件下，以电子级</w:t>
      </w:r>
      <w:r>
        <w:rPr>
          <w:rFonts w:eastAsia="宋体"/>
          <w:color w:val="auto"/>
          <w:sz w:val="21"/>
          <w:szCs w:val="21"/>
        </w:rPr>
        <w:t>PGMEA</w:t>
      </w:r>
      <w:r>
        <w:rPr>
          <w:rFonts w:hint="eastAsia" w:eastAsia="宋体"/>
          <w:color w:val="auto"/>
          <w:sz w:val="21"/>
          <w:szCs w:val="21"/>
        </w:rPr>
        <w:t>为溶剂配置工作曲线上机，元素Li、Na、Mg、Al、K、Ca、V、Cr、Mn、Fe、Co、Ni、Cu、Zn、As、Ag、Cd、Ba、Pb的检出限必须优于2ppt（实际测定样品、非理论计算值）；对上述元素进行5</w:t>
      </w:r>
      <w:r>
        <w:rPr>
          <w:rFonts w:eastAsia="宋体"/>
          <w:color w:val="auto"/>
          <w:sz w:val="21"/>
          <w:szCs w:val="21"/>
        </w:rPr>
        <w:t>0</w:t>
      </w:r>
      <w:r>
        <w:rPr>
          <w:rFonts w:hint="eastAsia" w:eastAsia="宋体"/>
          <w:color w:val="auto"/>
          <w:sz w:val="21"/>
          <w:szCs w:val="21"/>
        </w:rPr>
        <w:t>ppt加标操作，测定回收率必须在</w:t>
      </w:r>
      <w:r>
        <w:rPr>
          <w:rFonts w:eastAsia="宋体"/>
          <w:color w:val="auto"/>
          <w:sz w:val="21"/>
          <w:szCs w:val="21"/>
        </w:rPr>
        <w:t>80</w:t>
      </w:r>
      <w:r>
        <w:rPr>
          <w:rFonts w:hint="eastAsia" w:eastAsia="宋体"/>
          <w:color w:val="auto"/>
          <w:sz w:val="21"/>
          <w:szCs w:val="21"/>
        </w:rPr>
        <w:t>-</w:t>
      </w:r>
      <w:r>
        <w:rPr>
          <w:rFonts w:eastAsia="宋体"/>
          <w:color w:val="auto"/>
          <w:sz w:val="21"/>
          <w:szCs w:val="21"/>
        </w:rPr>
        <w:t>120</w:t>
      </w:r>
      <w:r>
        <w:rPr>
          <w:rFonts w:hint="eastAsia" w:eastAsia="宋体"/>
          <w:color w:val="auto"/>
          <w:sz w:val="21"/>
          <w:szCs w:val="21"/>
        </w:rPr>
        <w:t>%范围内。</w:t>
      </w:r>
    </w:p>
    <w:p>
      <w:pPr>
        <w:pStyle w:val="2"/>
        <w:numPr>
          <w:ilvl w:val="1"/>
          <w:numId w:val="5"/>
        </w:numPr>
        <w:spacing w:before="0" w:beforeAutospacing="0" w:after="0" w:afterAutospacing="0"/>
        <w:rPr>
          <w:rFonts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sz w:val="21"/>
          <w:szCs w:val="21"/>
        </w:rPr>
        <w:t>本底控制能力：在千级洁净室条件下，以去离子水为溶剂配置工作曲线上机，测定元素Li、Na、Mg、Al、K、Ca、V、Cr、Mn、Fe、Co、Ni、Cu、Zn、As、Ag、Cd、Ba、Pb去离子水空白本底，在不扣除空白本底的前提下，上述元素的本底等效浓度（B</w:t>
      </w:r>
      <w:r>
        <w:rPr>
          <w:rFonts w:eastAsia="宋体"/>
          <w:color w:val="auto"/>
          <w:sz w:val="21"/>
          <w:szCs w:val="21"/>
        </w:rPr>
        <w:t>EC</w:t>
      </w:r>
      <w:r>
        <w:rPr>
          <w:rFonts w:hint="eastAsia" w:eastAsia="宋体"/>
          <w:color w:val="auto"/>
          <w:sz w:val="21"/>
          <w:szCs w:val="21"/>
        </w:rPr>
        <w:t>）均必须小于2ppt（实际测定样品、非理论计算值）。</w:t>
      </w:r>
    </w:p>
    <w:p>
      <w:pPr>
        <w:pStyle w:val="2"/>
        <w:numPr>
          <w:ilvl w:val="0"/>
          <w:numId w:val="5"/>
        </w:numPr>
        <w:spacing w:before="0" w:beforeAutospacing="0" w:after="0" w:afterAutospacing="0"/>
        <w:rPr>
          <w:rFonts w:eastAsia="宋体"/>
          <w:b/>
          <w:color w:val="auto"/>
          <w:sz w:val="21"/>
          <w:szCs w:val="21"/>
        </w:rPr>
      </w:pPr>
      <w:r>
        <w:rPr>
          <w:rFonts w:eastAsia="宋体"/>
          <w:b/>
          <w:color w:val="auto"/>
          <w:sz w:val="21"/>
          <w:szCs w:val="21"/>
        </w:rPr>
        <w:t>工作站</w:t>
      </w:r>
      <w:r>
        <w:rPr>
          <w:rFonts w:hint="eastAsia" w:eastAsia="宋体"/>
          <w:b/>
          <w:color w:val="auto"/>
          <w:sz w:val="21"/>
          <w:szCs w:val="21"/>
        </w:rPr>
        <w:t>硬件和软件</w:t>
      </w:r>
      <w:r>
        <w:rPr>
          <w:rFonts w:eastAsia="宋体"/>
          <w:b/>
          <w:color w:val="auto"/>
          <w:sz w:val="21"/>
          <w:szCs w:val="21"/>
        </w:rPr>
        <w:t>配置：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原厂配置计算机系统</w:t>
      </w:r>
      <w:r>
        <w:rPr>
          <w:rFonts w:hint="eastAsia" w:eastAsia="宋体"/>
          <w:color w:val="auto"/>
          <w:sz w:val="21"/>
          <w:szCs w:val="21"/>
        </w:rPr>
        <w:t>：</w:t>
      </w:r>
      <w:r>
        <w:rPr>
          <w:rFonts w:eastAsia="宋体"/>
          <w:color w:val="auto"/>
          <w:sz w:val="21"/>
          <w:szCs w:val="21"/>
        </w:rPr>
        <w:t>Intel i7；</w:t>
      </w:r>
      <w:r>
        <w:rPr>
          <w:rFonts w:eastAsia="宋体"/>
          <w:color w:val="auto"/>
          <w:sz w:val="21"/>
          <w:szCs w:val="21"/>
        </w:rPr>
        <w:t>16G内存；500G</w:t>
      </w:r>
      <w:r>
        <w:rPr>
          <w:rFonts w:hint="eastAsia" w:eastAsia="宋体"/>
          <w:color w:val="auto"/>
          <w:sz w:val="21"/>
          <w:szCs w:val="21"/>
        </w:rPr>
        <w:t>固态+</w:t>
      </w:r>
      <w:r>
        <w:rPr>
          <w:rFonts w:eastAsia="宋体"/>
          <w:color w:val="auto"/>
          <w:sz w:val="21"/>
          <w:szCs w:val="21"/>
        </w:rPr>
        <w:t>2T</w:t>
      </w:r>
      <w:r>
        <w:rPr>
          <w:rFonts w:hint="eastAsia" w:eastAsia="宋体"/>
          <w:color w:val="auto"/>
          <w:sz w:val="21"/>
          <w:szCs w:val="21"/>
        </w:rPr>
        <w:t>机械硬盘</w:t>
      </w:r>
      <w:r>
        <w:rPr>
          <w:rFonts w:eastAsia="宋体"/>
          <w:color w:val="auto"/>
          <w:sz w:val="21"/>
          <w:szCs w:val="21"/>
        </w:rPr>
        <w:t>；27</w:t>
      </w:r>
      <w:r>
        <w:rPr>
          <w:rFonts w:hint="eastAsia" w:eastAsia="宋体"/>
          <w:color w:val="auto"/>
          <w:sz w:val="21"/>
          <w:szCs w:val="21"/>
        </w:rPr>
        <w:t>寸</w:t>
      </w:r>
      <w:r>
        <w:rPr>
          <w:rFonts w:eastAsia="宋体"/>
          <w:color w:val="auto"/>
          <w:sz w:val="21"/>
          <w:szCs w:val="21"/>
        </w:rPr>
        <w:t>液晶显示器；</w:t>
      </w:r>
      <w:r>
        <w:rPr>
          <w:rFonts w:eastAsia="宋体"/>
          <w:color w:val="auto"/>
          <w:sz w:val="21"/>
          <w:szCs w:val="21"/>
        </w:rPr>
        <w:t>操作系统：Windows10操作系统；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全自动工作条件调谐 (AutoTuning)；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快速扫描功能：2s可以扫描整个质谱图</w:t>
      </w:r>
    </w:p>
    <w:p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eastAsia="宋体"/>
          <w:b/>
          <w:color w:val="auto"/>
          <w:sz w:val="21"/>
          <w:szCs w:val="21"/>
        </w:rPr>
      </w:pPr>
      <w:r>
        <w:rPr>
          <w:rFonts w:eastAsia="宋体"/>
          <w:b/>
          <w:color w:val="auto"/>
          <w:sz w:val="21"/>
          <w:szCs w:val="21"/>
        </w:rPr>
        <w:t>性能指标</w:t>
      </w:r>
      <w:r>
        <w:rPr>
          <w:rFonts w:hint="eastAsia" w:eastAsia="宋体"/>
          <w:b/>
          <w:color w:val="auto"/>
          <w:sz w:val="21"/>
          <w:szCs w:val="21"/>
        </w:rPr>
        <w:t>（作为设备安装后的现场验收条款）</w:t>
      </w:r>
      <w:r>
        <w:rPr>
          <w:rFonts w:eastAsia="宋体"/>
          <w:b/>
          <w:color w:val="auto"/>
          <w:sz w:val="21"/>
          <w:szCs w:val="21"/>
        </w:rPr>
        <w:t xml:space="preserve">： 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灵敏度【cps/ppm】</w:t>
      </w:r>
    </w:p>
    <w:p>
      <w:pPr>
        <w:pStyle w:val="2"/>
        <w:spacing w:before="0" w:beforeAutospacing="0" w:after="0" w:afterAutospacing="0"/>
        <w:ind w:left="42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低质量数：Li(7) ≥150 M</w:t>
      </w:r>
    </w:p>
    <w:p>
      <w:pPr>
        <w:pStyle w:val="2"/>
        <w:spacing w:before="0" w:beforeAutospacing="0" w:after="0" w:afterAutospacing="0"/>
        <w:ind w:left="42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中质量数：Y(89) ≥500 M</w:t>
      </w:r>
    </w:p>
    <w:p>
      <w:pPr>
        <w:pStyle w:val="2"/>
        <w:spacing w:before="0" w:beforeAutospacing="0" w:after="0" w:afterAutospacing="0"/>
        <w:ind w:left="42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高质量数：Tl(205) ≥300 M (U≥400M)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检测限【3*sigma，ppt】</w:t>
      </w:r>
    </w:p>
    <w:p>
      <w:pPr>
        <w:pStyle w:val="2"/>
        <w:spacing w:before="0" w:beforeAutospacing="0" w:after="0" w:afterAutospacing="0"/>
        <w:ind w:left="42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Be(9) ≤ 0.1 ppt</w:t>
      </w:r>
    </w:p>
    <w:p>
      <w:pPr>
        <w:pStyle w:val="2"/>
        <w:spacing w:before="0" w:beforeAutospacing="0" w:after="0" w:afterAutospacing="0"/>
        <w:ind w:left="42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In(115) ≤ 0.05 ppt</w:t>
      </w:r>
    </w:p>
    <w:p>
      <w:pPr>
        <w:pStyle w:val="2"/>
        <w:spacing w:before="0" w:beforeAutospacing="0" w:after="0" w:afterAutospacing="0"/>
        <w:ind w:left="42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Bi(209) ≤ 0.05ppt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bookmarkStart w:id="0" w:name="_GoBack"/>
      <w:bookmarkEnd w:id="0"/>
      <w:r>
        <w:rPr>
          <w:rFonts w:eastAsia="宋体"/>
          <w:color w:val="auto"/>
          <w:sz w:val="21"/>
          <w:szCs w:val="21"/>
        </w:rPr>
        <w:t>背景：≤1.0 cps （在质量数9 amu处实测背景）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氧化物产率(CeO</w:t>
      </w:r>
      <w:r>
        <w:rPr>
          <w:rFonts w:eastAsia="宋体"/>
          <w:color w:val="auto"/>
          <w:sz w:val="21"/>
          <w:szCs w:val="21"/>
          <w:vertAlign w:val="superscript"/>
        </w:rPr>
        <w:t>+</w:t>
      </w:r>
      <w:r>
        <w:rPr>
          <w:rFonts w:eastAsia="宋体"/>
          <w:color w:val="auto"/>
          <w:sz w:val="21"/>
          <w:szCs w:val="21"/>
        </w:rPr>
        <w:t>/Ce</w:t>
      </w:r>
      <w:r>
        <w:rPr>
          <w:rFonts w:eastAsia="宋体"/>
          <w:color w:val="auto"/>
          <w:sz w:val="21"/>
          <w:szCs w:val="21"/>
          <w:vertAlign w:val="superscript"/>
        </w:rPr>
        <w:t>+</w:t>
      </w:r>
      <w:r>
        <w:rPr>
          <w:rFonts w:eastAsia="宋体"/>
          <w:color w:val="auto"/>
          <w:sz w:val="21"/>
          <w:szCs w:val="21"/>
        </w:rPr>
        <w:t>) ：≤3%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双电荷产率(Ce</w:t>
      </w:r>
      <w:r>
        <w:rPr>
          <w:rFonts w:eastAsia="宋体"/>
          <w:color w:val="auto"/>
          <w:sz w:val="21"/>
          <w:szCs w:val="21"/>
          <w:vertAlign w:val="superscript"/>
        </w:rPr>
        <w:t>2+</w:t>
      </w:r>
      <w:r>
        <w:rPr>
          <w:rFonts w:eastAsia="宋体"/>
          <w:color w:val="auto"/>
          <w:sz w:val="21"/>
          <w:szCs w:val="21"/>
        </w:rPr>
        <w:t>/Ce</w:t>
      </w:r>
      <w:r>
        <w:rPr>
          <w:rFonts w:eastAsia="宋体"/>
          <w:color w:val="auto"/>
          <w:sz w:val="21"/>
          <w:szCs w:val="21"/>
          <w:vertAlign w:val="superscript"/>
        </w:rPr>
        <w:t>+</w:t>
      </w:r>
      <w:r>
        <w:rPr>
          <w:rFonts w:eastAsia="宋体"/>
          <w:color w:val="auto"/>
          <w:sz w:val="21"/>
          <w:szCs w:val="21"/>
        </w:rPr>
        <w:t>)：≤3.0 %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短期稳定性(RSD)： ≤2% (20 min) (须在1ppb 标准溶液中测定)</w:t>
      </w:r>
    </w:p>
    <w:p>
      <w:pPr>
        <w:pStyle w:val="2"/>
        <w:numPr>
          <w:ilvl w:val="1"/>
          <w:numId w:val="2"/>
        </w:numPr>
        <w:spacing w:before="0" w:beforeAutospacing="0" w:after="0" w:afterAutospacing="0"/>
        <w:ind w:left="0" w:firstLine="0"/>
        <w:rPr>
          <w:rFonts w:eastAsia="宋体"/>
          <w:color w:val="auto"/>
          <w:sz w:val="21"/>
          <w:szCs w:val="21"/>
        </w:rPr>
      </w:pPr>
      <w:r>
        <w:rPr>
          <w:rFonts w:eastAsia="宋体"/>
          <w:color w:val="auto"/>
          <w:sz w:val="21"/>
          <w:szCs w:val="21"/>
        </w:rPr>
        <w:t>长期稳定性(RSD)：≤3% (2 hrs) (须在1ppb 标准溶液中测定</w:t>
      </w:r>
    </w:p>
    <w:p>
      <w:pPr>
        <w:pStyle w:val="5"/>
        <w:numPr>
          <w:ilvl w:val="0"/>
          <w:numId w:val="6"/>
        </w:numPr>
        <w:ind w:firstLineChars="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售后服务要求</w:t>
      </w:r>
    </w:p>
    <w:p>
      <w:pPr>
        <w:pStyle w:val="5"/>
        <w:numPr>
          <w:ilvl w:val="0"/>
          <w:numId w:val="7"/>
        </w:numPr>
        <w:adjustRightInd w:val="0"/>
        <w:snapToGrid w:val="0"/>
        <w:spacing w:line="300" w:lineRule="auto"/>
        <w:ind w:firstLineChars="0"/>
        <w:jc w:val="left"/>
        <w:rPr>
          <w:color w:val="auto"/>
          <w:szCs w:val="21"/>
        </w:rPr>
      </w:pPr>
      <w:r>
        <w:rPr>
          <w:color w:val="auto"/>
          <w:szCs w:val="21"/>
        </w:rPr>
        <w:t>生产厂家在中国有完备的售后服务和技术支持，在中国通过ISO9001售后服务质量体系认证，并提供认证证书。专门售后服务热线通道7*8小时在线接听。</w:t>
      </w:r>
    </w:p>
    <w:p>
      <w:pPr>
        <w:pStyle w:val="5"/>
        <w:numPr>
          <w:ilvl w:val="0"/>
          <w:numId w:val="7"/>
        </w:numPr>
        <w:adjustRightInd w:val="0"/>
        <w:snapToGrid w:val="0"/>
        <w:spacing w:line="300" w:lineRule="auto"/>
        <w:ind w:firstLineChars="0"/>
        <w:jc w:val="left"/>
        <w:rPr>
          <w:color w:val="auto"/>
          <w:szCs w:val="21"/>
        </w:rPr>
      </w:pPr>
      <w:r>
        <w:rPr>
          <w:color w:val="auto"/>
          <w:szCs w:val="21"/>
        </w:rPr>
        <w:t>设备到货后提供免费安装，调试，培训，直至验收合格。设备包含品牌厂家培训中心名额1名，课程内容包含仪器原理、结构、硬件、操作、软件数据分析、故障维护等内容，为期一周。设备在福建省内必须有成功销售并验收的业绩案例3个及以上（提供合同、验收报告扫描件作为证明）。提供半导体专业方法开发服务。</w:t>
      </w:r>
    </w:p>
    <w:p>
      <w:pPr>
        <w:pStyle w:val="5"/>
        <w:numPr>
          <w:ilvl w:val="0"/>
          <w:numId w:val="7"/>
        </w:numPr>
        <w:adjustRightInd w:val="0"/>
        <w:snapToGrid w:val="0"/>
        <w:spacing w:line="300" w:lineRule="auto"/>
        <w:ind w:firstLineChars="0"/>
        <w:jc w:val="left"/>
        <w:rPr>
          <w:color w:val="auto"/>
          <w:szCs w:val="21"/>
        </w:rPr>
      </w:pPr>
      <w:r>
        <w:rPr>
          <w:color w:val="auto"/>
          <w:szCs w:val="21"/>
        </w:rPr>
        <w:t>提供千级洁净实验室的建设安装和改造，包含洗涤台、实验边台、风淋室、工作台、仪器台、冷藏试剂柜、工作站桌面和气体柜等，满足千级洁净检测环境需求。</w:t>
      </w:r>
    </w:p>
    <w:p>
      <w:pPr>
        <w:pStyle w:val="5"/>
        <w:numPr>
          <w:ilvl w:val="0"/>
          <w:numId w:val="7"/>
        </w:numPr>
        <w:adjustRightInd w:val="0"/>
        <w:snapToGrid w:val="0"/>
        <w:spacing w:line="300" w:lineRule="auto"/>
        <w:ind w:firstLineChars="0"/>
        <w:jc w:val="left"/>
        <w:rPr>
          <w:color w:val="auto"/>
          <w:szCs w:val="21"/>
        </w:rPr>
      </w:pPr>
      <w:r>
        <w:rPr>
          <w:color w:val="auto"/>
          <w:szCs w:val="21"/>
        </w:rPr>
        <w:t>安装调试经用户验收合格当天起，免费质量保证期一年。</w:t>
      </w:r>
    </w:p>
    <w:p>
      <w:pPr>
        <w:pStyle w:val="5"/>
        <w:numPr>
          <w:ilvl w:val="0"/>
          <w:numId w:val="7"/>
        </w:numPr>
        <w:adjustRightInd w:val="0"/>
        <w:snapToGrid w:val="0"/>
        <w:spacing w:line="300" w:lineRule="auto"/>
        <w:ind w:firstLineChars="0"/>
        <w:jc w:val="left"/>
        <w:rPr>
          <w:color w:val="auto"/>
          <w:szCs w:val="21"/>
        </w:rPr>
      </w:pPr>
      <w:r>
        <w:rPr>
          <w:color w:val="auto"/>
          <w:szCs w:val="21"/>
        </w:rPr>
        <w:t>必须在福建有驻地的ICPMS售后维修工程师（提供联系方式及资质证明文件）。维修响应时间一般情况4小时，到现场时间72小时。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gilent TT Cond">
    <w:altName w:val="Segoe Print"/>
    <w:panose1 w:val="020B0606020002020203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gilent TT CondLight">
    <w:altName w:val="Yu Gothic UI Light"/>
    <w:panose1 w:val="020B0306020002020203"/>
    <w:charset w:val="00"/>
    <w:family w:val="swiss"/>
    <w:pitch w:val="default"/>
    <w:sig w:usb0="00000000" w:usb1="00000000" w:usb2="00000000" w:usb3="00000000" w:csb0="0000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56E2C"/>
    <w:multiLevelType w:val="multilevel"/>
    <w:tmpl w:val="0E156E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Arial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E1463"/>
    <w:multiLevelType w:val="multilevel"/>
    <w:tmpl w:val="180E1463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F744CA"/>
    <w:multiLevelType w:val="multilevel"/>
    <w:tmpl w:val="4DF744CA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 w:ascii="Agilent TT CondLight" w:hAnsi="Agilent TT CondLight"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 w:ascii="Agilent TT Cond" w:hAnsi="Agilent TT Cond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68781679"/>
    <w:multiLevelType w:val="multilevel"/>
    <w:tmpl w:val="687816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entative="1">
        <w:start w:val="1"/>
        <w:numFmt w:val="decimal"/>
        <w:lvlText w:val="%1."/>
        <w:lvlJc w:val="left"/>
        <w:pPr>
          <w:ind w:left="360" w:hanging="360"/>
        </w:pPr>
        <w:rPr>
          <w:rFonts w:hint="default" w:ascii="Agilent TT CondLight" w:hAnsi="Agilent TT CondLight" w:cs="Times New Roman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ind w:left="380" w:hanging="380"/>
        </w:pPr>
        <w:rPr>
          <w:rFonts w:hint="default" w:ascii="Agilent TT Cond" w:hAnsi="Agilent TT Cond"/>
        </w:rPr>
      </w:lvl>
    </w:lvlOverride>
    <w:lvlOverride w:ilvl="2">
      <w:lvl w:ilvl="2" w:tentative="1">
        <w:start w:val="1"/>
        <w:numFmt w:val="decimal"/>
        <w:lvlText w:val="%1.%2.%3."/>
        <w:lvlJc w:val="left"/>
        <w:pPr>
          <w:ind w:left="1224" w:hanging="504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1728" w:hanging="64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2232" w:hanging="7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2736" w:hanging="936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3240" w:hanging="1080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eastAsia"/>
        </w:rPr>
      </w:lvl>
    </w:lvlOverride>
  </w:num>
  <w:num w:numId="4">
    <w:abstractNumId w:val="2"/>
    <w:lvlOverride w:ilvl="0">
      <w:lvl w:ilvl="0" w:tentative="1">
        <w:start w:val="1"/>
        <w:numFmt w:val="decimal"/>
        <w:lvlText w:val="%1."/>
        <w:lvlJc w:val="left"/>
        <w:pPr>
          <w:ind w:left="360" w:hanging="360"/>
        </w:pPr>
        <w:rPr>
          <w:rFonts w:hint="default" w:ascii="Agilent TT CondLight" w:hAnsi="Agilent TT CondLight" w:cs="Times New Roman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ind w:left="380" w:hanging="380"/>
        </w:pPr>
        <w:rPr>
          <w:rFonts w:hint="default" w:ascii="Agilent TT Cond" w:hAnsi="Agilent TT Cond"/>
        </w:rPr>
      </w:lvl>
    </w:lvlOverride>
    <w:lvlOverride w:ilvl="2">
      <w:lvl w:ilvl="2" w:tentative="1">
        <w:start w:val="1"/>
        <w:numFmt w:val="decimal"/>
        <w:lvlText w:val="%1.%2.%3."/>
        <w:lvlJc w:val="left"/>
        <w:pPr>
          <w:ind w:left="1253" w:hanging="873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1728" w:hanging="64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2232" w:hanging="7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2736" w:hanging="936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3240" w:hanging="1080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eastAsia"/>
        </w:rPr>
      </w:lvl>
    </w:lvlOverride>
  </w:num>
  <w:num w:numId="5">
    <w:abstractNumId w:val="2"/>
    <w:lvlOverride w:ilvl="0">
      <w:lvl w:ilvl="0" w:tentative="1">
        <w:start w:val="1"/>
        <w:numFmt w:val="decimal"/>
        <w:lvlText w:val="%1."/>
        <w:lvlJc w:val="left"/>
        <w:pPr>
          <w:ind w:left="380" w:hanging="380"/>
        </w:pPr>
        <w:rPr>
          <w:rFonts w:hint="default" w:ascii="Agilent TT CondLight" w:hAnsi="Agilent TT CondLight" w:cs="Times New Roman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ind w:left="380" w:hanging="380"/>
        </w:pPr>
        <w:rPr>
          <w:rFonts w:hint="default" w:ascii="Agilent TT Cond" w:hAnsi="Agilent TT Cond"/>
        </w:rPr>
      </w:lvl>
    </w:lvlOverride>
    <w:lvlOverride w:ilvl="2">
      <w:lvl w:ilvl="2" w:tentative="1">
        <w:start w:val="1"/>
        <w:numFmt w:val="decimal"/>
        <w:lvlText w:val="%1.%2.%3."/>
        <w:lvlJc w:val="left"/>
        <w:pPr>
          <w:ind w:left="1253" w:hanging="873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1728" w:hanging="64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2232" w:hanging="7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2736" w:hanging="936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3240" w:hanging="1080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eastAsia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3A"/>
    <w:rsid w:val="000065A0"/>
    <w:rsid w:val="000263D6"/>
    <w:rsid w:val="000500DC"/>
    <w:rsid w:val="00066D12"/>
    <w:rsid w:val="000E2E47"/>
    <w:rsid w:val="000E645B"/>
    <w:rsid w:val="001B6490"/>
    <w:rsid w:val="00204471"/>
    <w:rsid w:val="002A02F6"/>
    <w:rsid w:val="002D5FBE"/>
    <w:rsid w:val="00375191"/>
    <w:rsid w:val="00530272"/>
    <w:rsid w:val="00585333"/>
    <w:rsid w:val="00597A97"/>
    <w:rsid w:val="006533C4"/>
    <w:rsid w:val="007E062F"/>
    <w:rsid w:val="00864B1F"/>
    <w:rsid w:val="00867FC1"/>
    <w:rsid w:val="00901F55"/>
    <w:rsid w:val="009066AD"/>
    <w:rsid w:val="0096754F"/>
    <w:rsid w:val="009B1373"/>
    <w:rsid w:val="00A45BEE"/>
    <w:rsid w:val="00B42540"/>
    <w:rsid w:val="00B82895"/>
    <w:rsid w:val="00CD37AB"/>
    <w:rsid w:val="00D1615A"/>
    <w:rsid w:val="00D32D98"/>
    <w:rsid w:val="00F64D3A"/>
    <w:rsid w:val="00FD5658"/>
    <w:rsid w:val="0FC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2874</Characters>
  <Lines>23</Lines>
  <Paragraphs>6</Paragraphs>
  <TotalTime>109</TotalTime>
  <ScaleCrop>false</ScaleCrop>
  <LinksUpToDate>false</LinksUpToDate>
  <CharactersWithSpaces>3372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2021-12-17T06:49:00Z</dcterms:created>
  <dc:creator>XU,FAN (Agilent CHN)</dc:creator>
  <cp:lastModifiedBy>良</cp:lastModifiedBy>
  <dcterms:modified xsi:type="dcterms:W3CDTF">2021-12-18T14:50:39Z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AAC61F558B9D4F71BD74CEAEF2619373</vt:lpwstr>
  </property>
</Properties>
</file>