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3253" w:firstLineChars="900"/>
        <w:rPr>
          <w:rFonts w:ascii="宋体" w:hAnsi="宋体"/>
          <w:b/>
          <w:bCs/>
          <w:sz w:val="36"/>
          <w:szCs w:val="28"/>
        </w:rPr>
      </w:pPr>
      <w:r>
        <w:rPr>
          <w:rFonts w:hint="eastAsia" w:ascii="宋体" w:hAnsi="宋体"/>
          <w:b/>
          <w:bCs/>
          <w:sz w:val="36"/>
          <w:szCs w:val="28"/>
        </w:rPr>
        <w:t>光谱椭偏仪</w:t>
      </w:r>
    </w:p>
    <w:p>
      <w:pPr>
        <w:ind w:firstLine="3253" w:firstLineChars="9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JGYQ-2021TP-146</w:t>
      </w: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1年12月</w:t>
      </w:r>
      <w:r>
        <w:rPr>
          <w:rFonts w:hint="eastAsia" w:ascii="宋体" w:hAnsi="宋体"/>
          <w:b/>
          <w:bCs/>
          <w:sz w:val="28"/>
          <w:szCs w:val="28"/>
          <w:lang w:val="en-US" w:eastAsia="zh-CN"/>
        </w:rPr>
        <w:t>31</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光谱椭偏仪</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采购编号：JGYQ-2021TP-146</w:t>
      </w:r>
    </w:p>
    <w:p>
      <w:pPr>
        <w:numPr>
          <w:ilvl w:val="0"/>
          <w:numId w:val="2"/>
        </w:numPr>
        <w:spacing w:line="360" w:lineRule="auto"/>
        <w:rPr>
          <w:rFonts w:ascii="宋体"/>
          <w:sz w:val="28"/>
          <w:szCs w:val="28"/>
        </w:rPr>
      </w:pPr>
      <w:r>
        <w:rPr>
          <w:rFonts w:hint="eastAsia" w:ascii="宋体" w:hAnsi="宋体"/>
          <w:sz w:val="28"/>
          <w:szCs w:val="28"/>
        </w:rPr>
        <w:t>采购项目：光谱椭偏仪</w:t>
      </w:r>
    </w:p>
    <w:p>
      <w:pPr>
        <w:numPr>
          <w:ilvl w:val="0"/>
          <w:numId w:val="2"/>
        </w:numPr>
        <w:spacing w:line="360" w:lineRule="auto"/>
        <w:rPr>
          <w:rFonts w:ascii="宋体"/>
          <w:sz w:val="28"/>
          <w:szCs w:val="28"/>
        </w:rPr>
      </w:pPr>
      <w:r>
        <w:rPr>
          <w:rFonts w:hint="eastAsia" w:ascii="宋体" w:hAnsi="宋体"/>
          <w:sz w:val="28"/>
          <w:szCs w:val="28"/>
        </w:rPr>
        <w:t>采购预算：本项目预算人民币945000元（最高控制价，人民币包干或需预留空间予用户支付报关报检及外贸代理等相关费用）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报价截止和磋商时间：2022年1月1</w:t>
      </w:r>
      <w:r>
        <w:rPr>
          <w:rFonts w:hint="eastAsia" w:ascii="宋体" w:hAnsi="宋体"/>
          <w:sz w:val="28"/>
          <w:szCs w:val="28"/>
          <w:lang w:val="en-US" w:eastAsia="zh-CN"/>
        </w:rPr>
        <w:t>2</w:t>
      </w:r>
      <w:r>
        <w:rPr>
          <w:rFonts w:hint="eastAsia" w:ascii="宋体" w:hAnsi="宋体"/>
          <w:sz w:val="28"/>
          <w:szCs w:val="28"/>
        </w:rPr>
        <w:t>日下午14：30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报名及磋商文件发售截至时间：报价人必须在2022年1月1</w:t>
      </w:r>
      <w:r>
        <w:rPr>
          <w:rFonts w:hint="eastAsia" w:ascii="宋体" w:hAnsi="宋体"/>
          <w:sz w:val="28"/>
          <w:szCs w:val="28"/>
          <w:lang w:val="en-US" w:eastAsia="zh-CN"/>
        </w:rPr>
        <w:t>1</w:t>
      </w:r>
      <w:r>
        <w:rPr>
          <w:rFonts w:hint="eastAsia" w:ascii="宋体" w:hAnsi="宋体"/>
          <w:sz w:val="28"/>
          <w:szCs w:val="28"/>
        </w:rPr>
        <w:t>日下午15点前（节假日除外），以邮件方式进行报名（详见附</w:t>
      </w:r>
      <w:bookmarkStart w:id="13" w:name="_GoBack"/>
      <w:bookmarkEnd w:id="13"/>
      <w:r>
        <w:rPr>
          <w:rFonts w:hint="eastAsia" w:ascii="宋体" w:hAnsi="宋体"/>
          <w:sz w:val="28"/>
          <w:szCs w:val="28"/>
        </w:rPr>
        <w:t>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highlight w:val="yellow"/>
        </w:rPr>
      </w:pPr>
      <w:r>
        <w:rPr>
          <w:rFonts w:hint="eastAsia" w:ascii="宋体" w:hAnsi="宋体"/>
          <w:sz w:val="28"/>
          <w:szCs w:val="28"/>
        </w:rPr>
        <w:t>技术需求方面请联系用户单位： 李老师 15060733887</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1年12月</w:t>
      </w:r>
      <w:r>
        <w:rPr>
          <w:rFonts w:hint="eastAsia" w:ascii="宋体" w:hAnsi="宋体"/>
          <w:sz w:val="28"/>
          <w:szCs w:val="28"/>
          <w:lang w:val="en-US" w:eastAsia="zh-CN"/>
        </w:rPr>
        <w:t>31</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嘉庚创新实验室光谱椭偏仪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1.报价一览表；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4.技术方案；</w:t>
            </w:r>
          </w:p>
          <w:p>
            <w:pPr>
              <w:pStyle w:val="7"/>
              <w:tabs>
                <w:tab w:val="left" w:pos="660"/>
              </w:tabs>
              <w:rPr>
                <w:rFonts w:hAnsi="宋体"/>
                <w:bCs/>
              </w:rPr>
            </w:pPr>
            <w:r>
              <w:rPr>
                <w:rFonts w:hint="eastAsia" w:hAnsi="宋体"/>
                <w:bCs/>
              </w:rPr>
              <w:t>5.实施方案（含项目实施进度计划表）；</w:t>
            </w:r>
          </w:p>
          <w:p>
            <w:pPr>
              <w:pStyle w:val="7"/>
              <w:tabs>
                <w:tab w:val="left" w:pos="660"/>
              </w:tabs>
              <w:rPr>
                <w:rFonts w:hAnsi="宋体"/>
                <w:bCs/>
              </w:rPr>
            </w:pPr>
            <w:r>
              <w:rPr>
                <w:rFonts w:hint="eastAsia" w:hAnsi="宋体"/>
                <w:bCs/>
              </w:rPr>
              <w:t>6.验收方案；</w:t>
            </w:r>
          </w:p>
          <w:p>
            <w:pPr>
              <w:pStyle w:val="7"/>
              <w:tabs>
                <w:tab w:val="left" w:pos="660"/>
              </w:tabs>
              <w:rPr>
                <w:rFonts w:hAnsi="宋体"/>
                <w:bCs/>
              </w:rPr>
            </w:pPr>
            <w:r>
              <w:rPr>
                <w:rFonts w:hint="eastAsia" w:hAnsi="宋体"/>
                <w:bCs/>
              </w:rPr>
              <w:t>7.培训及售后服务方案；</w:t>
            </w:r>
          </w:p>
          <w:p>
            <w:pPr>
              <w:pStyle w:val="7"/>
              <w:rPr>
                <w:rFonts w:hAnsi="宋体"/>
                <w:bCs/>
              </w:rPr>
            </w:pPr>
            <w:r>
              <w:rPr>
                <w:rFonts w:hint="eastAsia" w:hAnsi="宋体"/>
                <w:bCs/>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665"/>
        <w:gridCol w:w="825"/>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66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825"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16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4" w:type="dxa"/>
            <w:vAlign w:val="center"/>
          </w:tcPr>
          <w:p>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pPr>
              <w:widowControl/>
              <w:jc w:val="center"/>
              <w:rPr>
                <w:sz w:val="24"/>
              </w:rPr>
            </w:pPr>
            <w:r>
              <w:rPr>
                <w:rFonts w:hint="eastAsia"/>
                <w:sz w:val="24"/>
              </w:rPr>
              <w:t>945000</w:t>
            </w:r>
          </w:p>
        </w:tc>
        <w:tc>
          <w:tcPr>
            <w:tcW w:w="1665" w:type="dxa"/>
            <w:shd w:val="clear" w:color="000000" w:fill="auto"/>
            <w:vAlign w:val="center"/>
          </w:tcPr>
          <w:p>
            <w:pPr>
              <w:widowControl/>
              <w:jc w:val="center"/>
              <w:rPr>
                <w:sz w:val="24"/>
              </w:rPr>
            </w:pPr>
            <w:r>
              <w:rPr>
                <w:rFonts w:hint="eastAsia"/>
                <w:sz w:val="24"/>
              </w:rPr>
              <w:t>光谱椭偏仪</w:t>
            </w:r>
          </w:p>
        </w:tc>
        <w:tc>
          <w:tcPr>
            <w:tcW w:w="825" w:type="dxa"/>
            <w:shd w:val="clear" w:color="000000" w:fill="auto"/>
            <w:vAlign w:val="center"/>
          </w:tcPr>
          <w:p>
            <w:pPr>
              <w:widowControl/>
              <w:jc w:val="center"/>
              <w:rPr>
                <w:kern w:val="0"/>
                <w:sz w:val="28"/>
                <w:szCs w:val="20"/>
              </w:rPr>
            </w:pPr>
            <w:r>
              <w:rPr>
                <w:rFonts w:hint="eastAsia"/>
                <w:kern w:val="0"/>
                <w:sz w:val="28"/>
                <w:szCs w:val="20"/>
              </w:rPr>
              <w:t>1</w:t>
            </w:r>
          </w:p>
        </w:tc>
        <w:tc>
          <w:tcPr>
            <w:tcW w:w="4161" w:type="dxa"/>
            <w:shd w:val="clear" w:color="000000" w:fill="auto"/>
            <w:vAlign w:val="center"/>
          </w:tcPr>
          <w:p>
            <w:pPr>
              <w:spacing w:line="400" w:lineRule="exact"/>
              <w:jc w:val="left"/>
              <w:rPr>
                <w:sz w:val="24"/>
              </w:rPr>
            </w:pPr>
            <w:r>
              <w:rPr>
                <w:rFonts w:hint="eastAsia"/>
                <w:sz w:val="24"/>
              </w:rPr>
              <w:t>光谱椭偏仪器至少</w:t>
            </w:r>
            <w:r>
              <w:rPr>
                <w:sz w:val="24"/>
              </w:rPr>
              <w:t>包含如下几部分：</w:t>
            </w:r>
          </w:p>
          <w:p>
            <w:pPr>
              <w:numPr>
                <w:ilvl w:val="0"/>
                <w:numId w:val="4"/>
              </w:numPr>
              <w:spacing w:line="400" w:lineRule="exact"/>
              <w:jc w:val="left"/>
              <w:rPr>
                <w:sz w:val="24"/>
              </w:rPr>
            </w:pPr>
            <w:r>
              <w:rPr>
                <w:rFonts w:hint="eastAsia"/>
                <w:sz w:val="24"/>
              </w:rPr>
              <w:t>椭偏仪测头部分</w:t>
            </w:r>
          </w:p>
          <w:p>
            <w:pPr>
              <w:numPr>
                <w:ilvl w:val="0"/>
                <w:numId w:val="4"/>
              </w:numPr>
              <w:spacing w:line="400" w:lineRule="exact"/>
              <w:jc w:val="left"/>
              <w:rPr>
                <w:sz w:val="24"/>
              </w:rPr>
            </w:pPr>
            <w:r>
              <w:rPr>
                <w:rFonts w:hint="eastAsia"/>
                <w:sz w:val="24"/>
              </w:rPr>
              <w:t>自动变角基座部分</w:t>
            </w:r>
          </w:p>
          <w:p>
            <w:pPr>
              <w:numPr>
                <w:ilvl w:val="0"/>
                <w:numId w:val="4"/>
              </w:numPr>
              <w:spacing w:line="400" w:lineRule="exact"/>
              <w:jc w:val="left"/>
              <w:rPr>
                <w:sz w:val="24"/>
              </w:rPr>
            </w:pPr>
            <w:r>
              <w:rPr>
                <w:rFonts w:hint="eastAsia"/>
                <w:sz w:val="24"/>
              </w:rPr>
              <w:t>测控与软件分析部分</w:t>
            </w:r>
          </w:p>
          <w:p>
            <w:pPr>
              <w:pStyle w:val="26"/>
              <w:numPr>
                <w:ilvl w:val="0"/>
                <w:numId w:val="5"/>
              </w:numPr>
              <w:spacing w:line="400" w:lineRule="exact"/>
              <w:ind w:firstLineChars="0"/>
              <w:jc w:val="left"/>
              <w:rPr>
                <w:b/>
                <w:sz w:val="24"/>
              </w:rPr>
            </w:pPr>
            <w:r>
              <w:rPr>
                <w:rFonts w:hint="eastAsia"/>
                <w:b/>
                <w:sz w:val="24"/>
              </w:rPr>
              <w:t>技术参数</w:t>
            </w:r>
          </w:p>
          <w:p>
            <w:pPr>
              <w:numPr>
                <w:ilvl w:val="0"/>
                <w:numId w:val="4"/>
              </w:numPr>
              <w:spacing w:line="400" w:lineRule="exact"/>
              <w:jc w:val="left"/>
              <w:rPr>
                <w:bCs/>
                <w:sz w:val="24"/>
              </w:rPr>
            </w:pPr>
            <w:r>
              <w:rPr>
                <w:bCs/>
                <w:sz w:val="24"/>
              </w:rPr>
              <w:t>系统需求功能描述：</w:t>
            </w:r>
            <w:r>
              <w:rPr>
                <w:rFonts w:hint="eastAsia"/>
                <w:bCs/>
                <w:sz w:val="24"/>
              </w:rPr>
              <w:t>用于单层膜、多层复合膜在整个光谱范围内的测量和分析，可测量半导体、聚合物、高k/低k电介质等无机、有机膜、以及外延层等膜厚和光学常数（n、k常数）</w:t>
            </w:r>
          </w:p>
          <w:p>
            <w:pPr>
              <w:numPr>
                <w:ilvl w:val="0"/>
                <w:numId w:val="4"/>
              </w:numPr>
              <w:spacing w:line="400" w:lineRule="exact"/>
              <w:jc w:val="left"/>
              <w:rPr>
                <w:bCs/>
                <w:sz w:val="24"/>
              </w:rPr>
            </w:pPr>
            <w:r>
              <w:rPr>
                <w:rFonts w:hint="eastAsia"/>
                <w:bCs/>
                <w:sz w:val="24"/>
              </w:rPr>
              <w:t>样品的尺寸</w:t>
            </w:r>
            <w:r>
              <w:rPr>
                <w:bCs/>
                <w:sz w:val="24"/>
              </w:rPr>
              <w:t>兼容需求</w:t>
            </w:r>
            <w:r>
              <w:rPr>
                <w:rFonts w:hint="eastAsia"/>
                <w:bCs/>
                <w:sz w:val="24"/>
              </w:rPr>
              <w:t>：1</w:t>
            </w:r>
            <w:r>
              <w:rPr>
                <w:bCs/>
                <w:sz w:val="24"/>
              </w:rPr>
              <w:t>2</w:t>
            </w:r>
            <w:r>
              <w:rPr>
                <w:rFonts w:hint="eastAsia"/>
                <w:bCs/>
                <w:sz w:val="24"/>
              </w:rPr>
              <w:t>英寸及以下晶圆测试</w:t>
            </w:r>
          </w:p>
          <w:p>
            <w:pPr>
              <w:numPr>
                <w:ilvl w:val="0"/>
                <w:numId w:val="4"/>
              </w:numPr>
              <w:spacing w:line="400" w:lineRule="exact"/>
              <w:jc w:val="left"/>
              <w:rPr>
                <w:bCs/>
                <w:sz w:val="24"/>
              </w:rPr>
            </w:pPr>
            <w:r>
              <w:rPr>
                <w:bCs/>
                <w:sz w:val="24"/>
              </w:rPr>
              <w:t>性能参数：</w:t>
            </w:r>
          </w:p>
          <w:p>
            <w:pPr>
              <w:spacing w:line="400" w:lineRule="exact"/>
              <w:jc w:val="left"/>
              <w:rPr>
                <w:bCs/>
                <w:sz w:val="24"/>
              </w:rPr>
            </w:pPr>
            <w:r>
              <w:rPr>
                <w:bCs/>
                <w:sz w:val="24"/>
              </w:rPr>
              <w:t>（1）</w:t>
            </w:r>
            <w:r>
              <w:rPr>
                <w:rFonts w:hint="eastAsia"/>
                <w:bCs/>
                <w:sz w:val="24"/>
              </w:rPr>
              <w:t>测试头部分</w:t>
            </w:r>
          </w:p>
          <w:p>
            <w:pPr>
              <w:pStyle w:val="26"/>
              <w:numPr>
                <w:ilvl w:val="1"/>
                <w:numId w:val="4"/>
              </w:numPr>
              <w:spacing w:line="400" w:lineRule="exact"/>
              <w:ind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光源：氘灯+卤素灯或氙灯</w:t>
            </w:r>
          </w:p>
          <w:p>
            <w:pPr>
              <w:pStyle w:val="26"/>
              <w:numPr>
                <w:ilvl w:val="1"/>
                <w:numId w:val="4"/>
              </w:numPr>
              <w:spacing w:line="400" w:lineRule="exact"/>
              <w:ind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分光椭偏测试参数：Ψ (0-90°) 和 Δ (0-360°)</w:t>
            </w:r>
          </w:p>
          <w:p>
            <w:pPr>
              <w:pStyle w:val="26"/>
              <w:numPr>
                <w:ilvl w:val="1"/>
                <w:numId w:val="4"/>
              </w:numPr>
              <w:spacing w:line="400" w:lineRule="exact"/>
              <w:ind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光谱范围：210~1000nm，测试间隔≤1nm</w:t>
            </w:r>
          </w:p>
          <w:p>
            <w:pPr>
              <w:pStyle w:val="26"/>
              <w:numPr>
                <w:ilvl w:val="1"/>
                <w:numId w:val="4"/>
              </w:numPr>
              <w:spacing w:line="400" w:lineRule="exact"/>
              <w:ind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入射角：45°~90°可连续自动变角，典型角度65°</w:t>
            </w:r>
          </w:p>
          <w:p>
            <w:pPr>
              <w:pStyle w:val="26"/>
              <w:numPr>
                <w:ilvl w:val="1"/>
                <w:numId w:val="4"/>
              </w:numPr>
              <w:spacing w:line="400" w:lineRule="exact"/>
              <w:ind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光斑尺寸：可选，普通准入直光斑（不大于4mm）和消色差微光斑(不大于300μm)</w:t>
            </w:r>
          </w:p>
          <w:p>
            <w:pPr>
              <w:spacing w:line="400" w:lineRule="exact"/>
              <w:jc w:val="left"/>
              <w:rPr>
                <w:bCs/>
                <w:sz w:val="24"/>
              </w:rPr>
            </w:pPr>
            <w:r>
              <w:rPr>
                <w:rFonts w:hint="eastAsia"/>
                <w:bCs/>
                <w:sz w:val="24"/>
              </w:rPr>
              <w:t>（2）自动样品台</w:t>
            </w:r>
          </w:p>
          <w:p>
            <w:pPr>
              <w:pStyle w:val="26"/>
              <w:numPr>
                <w:ilvl w:val="1"/>
                <w:numId w:val="4"/>
              </w:numPr>
              <w:spacing w:line="400" w:lineRule="exact"/>
              <w:ind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真空吸附样品进行固定</w:t>
            </w:r>
          </w:p>
          <w:p>
            <w:pPr>
              <w:pStyle w:val="26"/>
              <w:numPr>
                <w:ilvl w:val="1"/>
                <w:numId w:val="4"/>
              </w:numPr>
              <w:spacing w:line="400" w:lineRule="exact"/>
              <w:ind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自动XY样品台（12英寸圆样品托向下兼容），XY移动行程300mm x 300mm向下兼容</w:t>
            </w:r>
          </w:p>
          <w:p>
            <w:pPr>
              <w:spacing w:line="400" w:lineRule="exact"/>
              <w:jc w:val="left"/>
              <w:rPr>
                <w:bCs/>
                <w:sz w:val="24"/>
              </w:rPr>
            </w:pPr>
            <w:r>
              <w:rPr>
                <w:bCs/>
                <w:sz w:val="24"/>
              </w:rPr>
              <w:t>（2）</w:t>
            </w:r>
            <w:r>
              <w:rPr>
                <w:rFonts w:hint="eastAsia"/>
                <w:bCs/>
                <w:sz w:val="24"/>
              </w:rPr>
              <w:t>Z轴高度：自动调节，分辨率1um</w:t>
            </w:r>
          </w:p>
          <w:p>
            <w:pPr>
              <w:spacing w:line="400" w:lineRule="exact"/>
              <w:jc w:val="left"/>
              <w:rPr>
                <w:bCs/>
                <w:sz w:val="24"/>
              </w:rPr>
            </w:pPr>
            <w:r>
              <w:rPr>
                <w:bCs/>
                <w:sz w:val="24"/>
              </w:rPr>
              <w:t>（3）</w:t>
            </w:r>
            <w:r>
              <w:rPr>
                <w:rFonts w:hint="eastAsia"/>
                <w:bCs/>
                <w:sz w:val="24"/>
              </w:rPr>
              <w:t>精度要求：</w:t>
            </w:r>
          </w:p>
          <w:p>
            <w:pPr>
              <w:spacing w:line="400" w:lineRule="exact"/>
              <w:ind w:firstLine="480"/>
              <w:jc w:val="left"/>
              <w:rPr>
                <w:rFonts w:ascii="宋体" w:hAnsi="宋体" w:cs="宋体"/>
                <w:bCs/>
                <w:sz w:val="24"/>
              </w:rPr>
            </w:pPr>
            <w:r>
              <w:rPr>
                <w:rFonts w:hint="eastAsia" w:ascii="宋体" w:hAnsi="宋体" w:cs="宋体"/>
                <w:bCs/>
                <w:sz w:val="24"/>
              </w:rPr>
              <w:t>① 测试准确性：</w:t>
            </w:r>
          </w:p>
          <w:p>
            <w:pPr>
              <w:spacing w:line="400" w:lineRule="exact"/>
              <w:ind w:firstLine="480"/>
              <w:jc w:val="left"/>
              <w:rPr>
                <w:sz w:val="24"/>
              </w:rPr>
            </w:pPr>
            <w:r>
              <w:rPr>
                <w:sz w:val="24"/>
              </w:rPr>
              <w:t>Psi: 45° ± 0.02°</w:t>
            </w:r>
          </w:p>
          <w:p>
            <w:pPr>
              <w:spacing w:line="400" w:lineRule="exact"/>
              <w:ind w:firstLine="480"/>
              <w:jc w:val="left"/>
              <w:rPr>
                <w:sz w:val="24"/>
              </w:rPr>
            </w:pPr>
            <w:r>
              <w:rPr>
                <w:sz w:val="24"/>
              </w:rPr>
              <w:t>Delta: 0° ± 0.05°</w:t>
            </w:r>
          </w:p>
          <w:p>
            <w:pPr>
              <w:spacing w:line="400" w:lineRule="exact"/>
              <w:ind w:firstLine="480" w:firstLineChars="200"/>
              <w:jc w:val="left"/>
              <w:rPr>
                <w:bCs/>
                <w:sz w:val="24"/>
              </w:rPr>
            </w:pPr>
            <w:r>
              <w:rPr>
                <w:rFonts w:hint="eastAsia"/>
                <w:sz w:val="24"/>
              </w:rPr>
              <w:t>② 测量重复性：</w:t>
            </w:r>
          </w:p>
          <w:p>
            <w:pPr>
              <w:spacing w:line="400" w:lineRule="exact"/>
              <w:ind w:firstLine="480"/>
              <w:jc w:val="left"/>
              <w:rPr>
                <w:bCs/>
                <w:sz w:val="24"/>
              </w:rPr>
            </w:pPr>
            <w:r>
              <w:rPr>
                <w:rFonts w:hint="eastAsia"/>
                <w:bCs/>
                <w:sz w:val="24"/>
              </w:rPr>
              <w:t>膜厚测量≤0.005nm（多次测量，标准偏差1δ）</w:t>
            </w:r>
          </w:p>
          <w:p>
            <w:pPr>
              <w:spacing w:line="400" w:lineRule="exact"/>
              <w:ind w:firstLine="480"/>
              <w:jc w:val="left"/>
              <w:rPr>
                <w:bCs/>
                <w:sz w:val="24"/>
              </w:rPr>
            </w:pPr>
            <w:r>
              <w:rPr>
                <w:rFonts w:hint="eastAsia"/>
                <w:bCs/>
                <w:sz w:val="24"/>
              </w:rPr>
              <w:t>折射率n的重复性≤0.0005（@632.8nm）（多次测量，标准偏差1δ）</w:t>
            </w:r>
          </w:p>
          <w:p>
            <w:pPr>
              <w:spacing w:line="400" w:lineRule="exact"/>
              <w:jc w:val="left"/>
              <w:rPr>
                <w:bCs/>
                <w:sz w:val="24"/>
              </w:rPr>
            </w:pPr>
            <w:r>
              <w:rPr>
                <w:rFonts w:hint="eastAsia"/>
                <w:bCs/>
                <w:sz w:val="24"/>
              </w:rPr>
              <w:t>（4）测试范围：</w:t>
            </w:r>
          </w:p>
          <w:p>
            <w:pPr>
              <w:spacing w:line="400" w:lineRule="exact"/>
              <w:ind w:firstLine="480"/>
              <w:jc w:val="left"/>
              <w:rPr>
                <w:bCs/>
                <w:sz w:val="24"/>
              </w:rPr>
            </w:pPr>
            <w:r>
              <w:rPr>
                <w:rFonts w:hint="eastAsia" w:ascii="宋体" w:hAnsi="宋体" w:cs="宋体"/>
                <w:bCs/>
                <w:sz w:val="24"/>
              </w:rPr>
              <w:t>①</w:t>
            </w:r>
            <w:r>
              <w:rPr>
                <w:rFonts w:hint="eastAsia"/>
                <w:bCs/>
                <w:sz w:val="24"/>
              </w:rPr>
              <w:t>可进行单点测试，也满足面扫描测试（1</w:t>
            </w:r>
            <w:r>
              <w:rPr>
                <w:bCs/>
                <w:sz w:val="24"/>
              </w:rPr>
              <w:t>2</w:t>
            </w:r>
            <w:r>
              <w:rPr>
                <w:rFonts w:hint="eastAsia"/>
                <w:bCs/>
                <w:sz w:val="24"/>
              </w:rPr>
              <w:t>英寸）</w:t>
            </w:r>
          </w:p>
          <w:p>
            <w:pPr>
              <w:spacing w:line="400" w:lineRule="exact"/>
              <w:ind w:firstLine="480"/>
              <w:jc w:val="left"/>
              <w:rPr>
                <w:sz w:val="24"/>
              </w:rPr>
            </w:pPr>
            <w:r>
              <w:rPr>
                <w:rFonts w:hint="eastAsia" w:ascii="宋体" w:hAnsi="宋体" w:cs="宋体"/>
                <w:bCs/>
                <w:sz w:val="24"/>
              </w:rPr>
              <w:t>②可适用于透明基底（</w:t>
            </w:r>
            <w:r>
              <w:rPr>
                <w:rFonts w:hint="eastAsia" w:ascii="宋体" w:hAnsi="宋体" w:cs="宋体"/>
                <w:kern w:val="0"/>
                <w:sz w:val="24"/>
              </w:rPr>
              <w:t>玻璃、蓝宝石、石英等</w:t>
            </w:r>
            <w:r>
              <w:rPr>
                <w:rFonts w:hint="eastAsia" w:ascii="宋体" w:hAnsi="宋体" w:cs="宋体"/>
                <w:bCs/>
                <w:sz w:val="24"/>
              </w:rPr>
              <w:t>）使用</w:t>
            </w:r>
          </w:p>
          <w:p>
            <w:pPr>
              <w:spacing w:line="400" w:lineRule="exact"/>
              <w:ind w:firstLine="480"/>
              <w:jc w:val="left"/>
              <w:rPr>
                <w:sz w:val="24"/>
              </w:rPr>
            </w:pPr>
            <w:r>
              <w:rPr>
                <w:rFonts w:hint="eastAsia" w:ascii="宋体" w:hAnsi="宋体" w:cs="宋体"/>
                <w:bCs/>
                <w:sz w:val="24"/>
              </w:rPr>
              <w:t>③</w:t>
            </w:r>
            <w:r>
              <w:rPr>
                <w:rFonts w:hint="eastAsia"/>
                <w:sz w:val="24"/>
              </w:rPr>
              <w:t>透明薄膜厚度至少最大可以测量10μm厚度</w:t>
            </w:r>
          </w:p>
          <w:p>
            <w:pPr>
              <w:spacing w:line="400" w:lineRule="exact"/>
              <w:jc w:val="left"/>
              <w:rPr>
                <w:bCs/>
                <w:sz w:val="24"/>
              </w:rPr>
            </w:pPr>
            <w:r>
              <w:rPr>
                <w:bCs/>
                <w:sz w:val="24"/>
              </w:rPr>
              <w:t>（4）软件及其他配置</w:t>
            </w:r>
          </w:p>
          <w:p>
            <w:pPr>
              <w:spacing w:line="400" w:lineRule="exact"/>
              <w:ind w:firstLine="480"/>
              <w:jc w:val="left"/>
              <w:rPr>
                <w:bCs/>
                <w:sz w:val="24"/>
              </w:rPr>
            </w:pPr>
            <w:r>
              <w:rPr>
                <w:rFonts w:hint="eastAsia" w:ascii="宋体" w:hAnsi="宋体" w:cs="宋体"/>
                <w:bCs/>
                <w:sz w:val="24"/>
              </w:rPr>
              <w:t>①</w:t>
            </w:r>
            <w:r>
              <w:rPr>
                <w:rFonts w:hint="eastAsia"/>
                <w:bCs/>
                <w:sz w:val="24"/>
              </w:rPr>
              <w:t xml:space="preserve"> 需有齐全的材料库、多种色散模型（可免费更新）</w:t>
            </w:r>
          </w:p>
          <w:p>
            <w:pPr>
              <w:spacing w:line="400" w:lineRule="exact"/>
              <w:ind w:firstLine="480"/>
              <w:jc w:val="left"/>
              <w:rPr>
                <w:rFonts w:ascii="宋体" w:hAnsi="宋体" w:cs="宋体"/>
                <w:kern w:val="0"/>
                <w:sz w:val="24"/>
              </w:rPr>
            </w:pPr>
            <w:r>
              <w:rPr>
                <w:rFonts w:hint="eastAsia"/>
                <w:bCs/>
                <w:sz w:val="24"/>
              </w:rPr>
              <w:t xml:space="preserve">② </w:t>
            </w:r>
            <w:r>
              <w:rPr>
                <w:bCs/>
                <w:sz w:val="24"/>
              </w:rPr>
              <w:t>软件：</w:t>
            </w:r>
            <w:r>
              <w:rPr>
                <w:rFonts w:hint="eastAsia" w:ascii="宋体" w:hAnsi="宋体" w:cs="宋体"/>
                <w:kern w:val="0"/>
                <w:sz w:val="24"/>
              </w:rPr>
              <w:t>支持兼容个人电脑使用</w:t>
            </w:r>
          </w:p>
          <w:p>
            <w:pPr>
              <w:spacing w:line="400" w:lineRule="exact"/>
              <w:ind w:firstLine="480"/>
              <w:jc w:val="left"/>
              <w:rPr>
                <w:rFonts w:ascii="宋体" w:hAnsi="宋体" w:cs="宋体"/>
                <w:kern w:val="0"/>
                <w:sz w:val="24"/>
              </w:rPr>
            </w:pPr>
            <w:r>
              <w:rPr>
                <w:rFonts w:hint="eastAsia" w:ascii="宋体" w:hAnsi="宋体" w:cs="宋体"/>
                <w:kern w:val="0"/>
                <w:sz w:val="24"/>
              </w:rPr>
              <w:t>③ 备品备件：灯源（至少1套）、专用工具</w:t>
            </w:r>
            <w:r>
              <w:rPr>
                <w:rFonts w:ascii="宋体" w:hAnsi="宋体" w:cs="宋体"/>
                <w:kern w:val="0"/>
                <w:sz w:val="24"/>
              </w:rPr>
              <w:t xml:space="preserve"> </w:t>
            </w:r>
          </w:p>
          <w:p>
            <w:pPr>
              <w:pStyle w:val="26"/>
              <w:numPr>
                <w:ilvl w:val="0"/>
                <w:numId w:val="5"/>
              </w:numPr>
              <w:ind w:firstLineChars="0"/>
              <w:rPr>
                <w:b/>
                <w:sz w:val="24"/>
              </w:rPr>
            </w:pPr>
            <w:r>
              <w:rPr>
                <w:rFonts w:hint="eastAsia"/>
                <w:b/>
                <w:sz w:val="24"/>
              </w:rPr>
              <w:t>商务要求（质保期、交货期等)</w:t>
            </w:r>
          </w:p>
          <w:p>
            <w:pPr>
              <w:pStyle w:val="26"/>
              <w:numPr>
                <w:ilvl w:val="0"/>
                <w:numId w:val="6"/>
              </w:numPr>
              <w:spacing w:line="400" w:lineRule="exact"/>
              <w:ind w:firstLineChars="0"/>
              <w:jc w:val="left"/>
              <w:rPr>
                <w:rFonts w:ascii="宋体" w:hAnsi="宋体" w:eastAsia="宋体" w:cs="宋体"/>
                <w:kern w:val="0"/>
                <w:sz w:val="24"/>
                <w:szCs w:val="24"/>
              </w:rPr>
            </w:pPr>
            <w:r>
              <w:rPr>
                <w:rFonts w:hint="eastAsia" w:ascii="宋体" w:hAnsi="宋体" w:eastAsia="宋体" w:cs="宋体"/>
                <w:kern w:val="0"/>
                <w:sz w:val="24"/>
                <w:szCs w:val="24"/>
              </w:rPr>
              <w:t>质保期至少</w:t>
            </w:r>
            <w:r>
              <w:rPr>
                <w:rFonts w:ascii="宋体" w:hAnsi="宋体" w:eastAsia="宋体" w:cs="宋体"/>
                <w:kern w:val="0"/>
                <w:sz w:val="24"/>
                <w:szCs w:val="24"/>
              </w:rPr>
              <w:t>2</w:t>
            </w:r>
            <w:r>
              <w:rPr>
                <w:rFonts w:hint="eastAsia" w:ascii="宋体" w:hAnsi="宋体" w:eastAsia="宋体" w:cs="宋体"/>
                <w:kern w:val="0"/>
                <w:sz w:val="24"/>
                <w:szCs w:val="24"/>
              </w:rPr>
              <w:t>年</w:t>
            </w:r>
            <w:r>
              <w:rPr>
                <w:rFonts w:ascii="宋体" w:hAnsi="宋体" w:eastAsia="宋体" w:cs="宋体"/>
                <w:kern w:val="0"/>
                <w:sz w:val="24"/>
                <w:szCs w:val="24"/>
              </w:rPr>
              <w:t>（自设备验收合格之日起）</w:t>
            </w:r>
          </w:p>
          <w:p>
            <w:pPr>
              <w:pStyle w:val="26"/>
              <w:numPr>
                <w:ilvl w:val="0"/>
                <w:numId w:val="6"/>
              </w:numPr>
              <w:spacing w:line="400" w:lineRule="exact"/>
              <w:ind w:firstLineChars="0"/>
              <w:jc w:val="left"/>
              <w:rPr>
                <w:rFonts w:ascii="宋体" w:hAnsi="宋体" w:eastAsia="宋体" w:cs="宋体"/>
                <w:kern w:val="0"/>
                <w:sz w:val="24"/>
                <w:szCs w:val="24"/>
              </w:rPr>
            </w:pPr>
            <w:r>
              <w:rPr>
                <w:rFonts w:hint="eastAsia" w:ascii="宋体" w:hAnsi="宋体" w:eastAsia="宋体" w:cs="宋体"/>
                <w:kern w:val="0"/>
                <w:sz w:val="24"/>
                <w:szCs w:val="24"/>
              </w:rPr>
              <w:t>交货日期货期：</w:t>
            </w:r>
            <w:r>
              <w:rPr>
                <w:rFonts w:ascii="宋体" w:hAnsi="宋体" w:eastAsia="宋体" w:cs="宋体"/>
                <w:kern w:val="0"/>
                <w:sz w:val="24"/>
                <w:szCs w:val="24"/>
              </w:rPr>
              <w:t>合同签订后需在6个月内交货</w:t>
            </w:r>
          </w:p>
          <w:p>
            <w:pPr>
              <w:pStyle w:val="26"/>
              <w:numPr>
                <w:ilvl w:val="0"/>
                <w:numId w:val="6"/>
              </w:numPr>
              <w:spacing w:line="400" w:lineRule="exact"/>
              <w:ind w:firstLineChars="0"/>
              <w:jc w:val="left"/>
              <w:rPr>
                <w:rFonts w:ascii="宋体" w:hAnsi="宋体" w:eastAsia="宋体" w:cs="宋体"/>
                <w:kern w:val="0"/>
                <w:sz w:val="24"/>
                <w:szCs w:val="24"/>
              </w:rPr>
            </w:pPr>
            <w:r>
              <w:rPr>
                <w:rFonts w:hint="eastAsia" w:ascii="宋体" w:hAnsi="宋体" w:eastAsia="宋体" w:cs="宋体"/>
                <w:kern w:val="0"/>
                <w:sz w:val="24"/>
                <w:szCs w:val="24"/>
              </w:rPr>
              <w:t>国内服务响应情况：</w:t>
            </w:r>
            <w:r>
              <w:rPr>
                <w:rFonts w:ascii="宋体" w:hAnsi="宋体" w:eastAsia="宋体" w:cs="宋体"/>
                <w:kern w:val="0"/>
                <w:sz w:val="24"/>
                <w:szCs w:val="24"/>
              </w:rPr>
              <w:t>在保修期内仪器出现问题，接到用户报修要求，</w:t>
            </w:r>
            <w:r>
              <w:rPr>
                <w:rFonts w:hint="eastAsia" w:ascii="宋体" w:hAnsi="宋体" w:eastAsia="宋体" w:cs="宋体"/>
                <w:kern w:val="0"/>
                <w:sz w:val="24"/>
                <w:szCs w:val="24"/>
              </w:rPr>
              <w:t>供应商应2小时内响应，</w:t>
            </w:r>
            <w:r>
              <w:rPr>
                <w:rFonts w:ascii="宋体" w:hAnsi="宋体" w:eastAsia="宋体" w:cs="宋体"/>
                <w:kern w:val="0"/>
                <w:sz w:val="24"/>
                <w:szCs w:val="24"/>
              </w:rPr>
              <w:t>如果无法通过网络和电话诊断排除故障</w:t>
            </w:r>
            <w:r>
              <w:rPr>
                <w:rFonts w:hint="eastAsia" w:ascii="宋体" w:hAnsi="宋体" w:eastAsia="宋体" w:cs="宋体"/>
                <w:kern w:val="0"/>
                <w:sz w:val="24"/>
                <w:szCs w:val="24"/>
              </w:rPr>
              <w:t>应3个工作日内到现场</w:t>
            </w:r>
          </w:p>
          <w:p>
            <w:pPr>
              <w:pStyle w:val="26"/>
              <w:numPr>
                <w:ilvl w:val="0"/>
                <w:numId w:val="6"/>
              </w:numPr>
              <w:spacing w:line="400" w:lineRule="exact"/>
              <w:ind w:firstLineChars="0"/>
              <w:jc w:val="left"/>
              <w:rPr>
                <w:rFonts w:ascii="宋体" w:hAnsi="宋体" w:eastAsia="宋体" w:cs="宋体"/>
                <w:kern w:val="0"/>
                <w:sz w:val="24"/>
                <w:szCs w:val="24"/>
              </w:rPr>
            </w:pPr>
            <w:r>
              <w:rPr>
                <w:rFonts w:hint="eastAsia" w:ascii="宋体" w:hAnsi="宋体" w:eastAsia="宋体" w:cs="宋体"/>
                <w:kern w:val="0"/>
                <w:sz w:val="24"/>
                <w:szCs w:val="24"/>
              </w:rPr>
              <w:t>国内应配有备品备件库</w:t>
            </w:r>
          </w:p>
          <w:p>
            <w:pPr>
              <w:pStyle w:val="26"/>
              <w:numPr>
                <w:ilvl w:val="0"/>
                <w:numId w:val="6"/>
              </w:numPr>
              <w:spacing w:line="400" w:lineRule="exact"/>
              <w:ind w:firstLineChars="0"/>
              <w:jc w:val="left"/>
              <w:rPr>
                <w:rFonts w:ascii="宋体" w:hAnsi="宋体" w:eastAsia="宋体" w:cs="宋体"/>
                <w:kern w:val="0"/>
                <w:sz w:val="24"/>
                <w:szCs w:val="24"/>
              </w:rPr>
            </w:pPr>
            <w:r>
              <w:rPr>
                <w:rFonts w:ascii="宋体" w:hAnsi="宋体" w:eastAsia="宋体" w:cs="宋体"/>
                <w:kern w:val="0"/>
                <w:sz w:val="24"/>
                <w:szCs w:val="24"/>
              </w:rPr>
              <w:t>软、硬件的升级</w:t>
            </w:r>
            <w:r>
              <w:rPr>
                <w:rFonts w:hint="eastAsia" w:ascii="宋体" w:hAnsi="宋体" w:eastAsia="宋体" w:cs="宋体"/>
                <w:kern w:val="0"/>
                <w:sz w:val="24"/>
                <w:szCs w:val="24"/>
              </w:rPr>
              <w:t>：</w:t>
            </w:r>
            <w:r>
              <w:rPr>
                <w:rFonts w:ascii="宋体" w:hAnsi="宋体" w:eastAsia="宋体" w:cs="宋体"/>
                <w:kern w:val="0"/>
                <w:sz w:val="24"/>
                <w:szCs w:val="24"/>
              </w:rPr>
              <w:t>供方应向用户提供终身仪器软件升级服务；与之相关的硬件升级只收取成本</w:t>
            </w:r>
          </w:p>
        </w:tc>
      </w:tr>
    </w:tbl>
    <w:p>
      <w:pPr>
        <w:spacing w:line="360" w:lineRule="auto"/>
        <w:rPr>
          <w:rFonts w:ascii="Arial" w:hAnsi="宋体" w:cs="Arial"/>
          <w:sz w:val="24"/>
          <w:szCs w:val="21"/>
        </w:rPr>
      </w:pPr>
      <w:r>
        <w:rPr>
          <w:rFonts w:hint="eastAsia"/>
          <w:b/>
          <w:bCs/>
          <w:sz w:val="28"/>
        </w:rPr>
        <w:t>二、采购要求</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7"/>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7"/>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8"/>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9"/>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8"/>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11"/>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11"/>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11"/>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11"/>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8"/>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2"/>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2"/>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3"/>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323741898"/>
      <w:bookmarkStart w:id="1" w:name="_Toc238290496"/>
      <w:bookmarkStart w:id="2" w:name="_Toc184176484"/>
      <w:bookmarkStart w:id="3" w:name="_Toc256416592"/>
      <w:bookmarkStart w:id="4" w:name="_Toc184550797"/>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33037128"/>
            <w:bookmarkStart w:id="6" w:name="_Toc415124366"/>
            <w:bookmarkStart w:id="7" w:name="_Toc418491550"/>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33037129"/>
            <w:bookmarkStart w:id="10" w:name="_Toc415124367"/>
            <w:bookmarkStart w:id="11" w:name="_Toc418491551"/>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2520" w:firstLineChars="900"/>
        <w:jc w:val="left"/>
        <w:rPr>
          <w:rFonts w:ascii="宋体" w:hAnsi="宋体"/>
          <w:sz w:val="24"/>
        </w:rPr>
      </w:pPr>
      <w:r>
        <w:rPr>
          <w:rFonts w:hint="eastAsia"/>
          <w:bCs/>
          <w:sz w:val="28"/>
        </w:rPr>
        <w:t>格式10   技术服务协议</w:t>
      </w:r>
    </w:p>
    <w:p>
      <w:pPr>
        <w:spacing w:line="360" w:lineRule="auto"/>
        <w:jc w:val="left"/>
        <w:rPr>
          <w:rFonts w:ascii="宋体" w:hAnsi="宋体"/>
          <w:sz w:val="24"/>
        </w:rPr>
      </w:pPr>
    </w:p>
    <w:p>
      <w:pPr>
        <w:rPr>
          <w:bCs/>
          <w:sz w:val="28"/>
        </w:rPr>
      </w:pPr>
      <w:r>
        <w:rPr>
          <w:rFonts w:hint="eastAsia"/>
          <w:bCs/>
          <w:sz w:val="28"/>
        </w:rPr>
        <w:t>甲方：嘉庚创新实验室</w:t>
      </w:r>
    </w:p>
    <w:p>
      <w:pPr>
        <w:rPr>
          <w:bCs/>
          <w:sz w:val="28"/>
        </w:rPr>
      </w:pPr>
      <w:r>
        <w:rPr>
          <w:rFonts w:hint="eastAsia"/>
          <w:bCs/>
          <w:sz w:val="28"/>
        </w:rPr>
        <w:t xml:space="preserve">乙方： </w:t>
      </w:r>
    </w:p>
    <w:p>
      <w:pPr>
        <w:rPr>
          <w:bCs/>
          <w:sz w:val="28"/>
        </w:rPr>
      </w:pP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3"/>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2"/>
              <w:spacing w:line="0" w:lineRule="atLeast"/>
              <w:jc w:val="center"/>
              <w:rPr>
                <w:rFonts w:ascii="Times New Roman" w:hAnsi="Times New Roman" w:cs="Times New Roman"/>
                <w:bCs/>
                <w:color w:val="auto"/>
                <w:kern w:val="2"/>
                <w:sz w:val="24"/>
                <w:szCs w:val="24"/>
              </w:rPr>
            </w:pPr>
          </w:p>
        </w:tc>
        <w:tc>
          <w:tcPr>
            <w:tcW w:w="1153" w:type="dxa"/>
            <w:vAlign w:val="center"/>
          </w:tcPr>
          <w:p>
            <w:pPr>
              <w:pStyle w:val="12"/>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rFonts w:ascii="宋体" w:hAnsi="宋体"/>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p>
    <w:p>
      <w:pPr>
        <w:spacing w:line="400" w:lineRule="exact"/>
        <w:rPr>
          <w:bCs/>
          <w:sz w:val="24"/>
        </w:rPr>
      </w:pP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ind w:left="1560" w:hanging="1560" w:hangingChars="650"/>
        <w:rPr>
          <w:rFonts w:ascii="宋体"/>
          <w:bCs/>
          <w:sz w:val="24"/>
        </w:rPr>
      </w:pPr>
      <w:r>
        <w:rPr>
          <w:rFonts w:hint="eastAsia"/>
          <w:bCs/>
          <w:sz w:val="24"/>
        </w:rPr>
        <w:t>5</w:t>
      </w:r>
      <w:r>
        <w:rPr>
          <w:bCs/>
          <w:sz w:val="24"/>
        </w:rPr>
        <w:t>．付款</w:t>
      </w:r>
      <w:r>
        <w:rPr>
          <w:rFonts w:hint="eastAsia" w:ascii="宋体"/>
          <w:bCs/>
          <w:sz w:val="24"/>
        </w:rPr>
        <w:t>方式（根据招标文件要求、报告批复结果、双方协商情况选择其一）：</w:t>
      </w:r>
    </w:p>
    <w:p>
      <w:pPr>
        <w:spacing w:line="400" w:lineRule="exact"/>
        <w:rPr>
          <w:rFonts w:ascii="宋体"/>
          <w:bCs/>
          <w:sz w:val="24"/>
        </w:rPr>
      </w:pPr>
      <w:r>
        <w:rPr>
          <w:rFonts w:hint="eastAsia" w:ascii="宋体"/>
          <w:bCs/>
          <w:sz w:val="24"/>
        </w:rPr>
        <w:t>①开具100%信用证，90%见单即付，10%货到验收合格后凭最终用户（</w:t>
      </w:r>
      <w:r>
        <w:rPr>
          <w:rFonts w:hint="eastAsia" w:ascii="宋体"/>
          <w:bCs/>
          <w:sz w:val="24"/>
          <w:u w:val="single"/>
        </w:rPr>
        <w:t xml:space="preserve">        </w:t>
      </w:r>
      <w:r>
        <w:rPr>
          <w:rFonts w:hint="eastAsia" w:ascii="宋体"/>
          <w:bCs/>
          <w:sz w:val="24"/>
        </w:rPr>
        <w:t xml:space="preserve"> ）的验收合格报告单支付（适用于合同金额5万美元以下）。</w:t>
      </w:r>
    </w:p>
    <w:p>
      <w:pPr>
        <w:spacing w:line="400" w:lineRule="exact"/>
        <w:rPr>
          <w:rFonts w:ascii="宋体"/>
          <w:bCs/>
          <w:sz w:val="24"/>
        </w:rPr>
      </w:pPr>
      <w:r>
        <w:rPr>
          <w:rFonts w:hint="eastAsia"/>
          <w:sz w:val="24"/>
        </w:rPr>
        <w:t>②</w:t>
      </w:r>
      <w:r>
        <w:rPr>
          <w:rFonts w:hint="eastAsia" w:ascii="宋体"/>
          <w:bCs/>
          <w:sz w:val="24"/>
        </w:rPr>
        <w:t>开具100%信用证，80%见单即付，20%货到验收合格后凭最终用户（</w:t>
      </w:r>
      <w:r>
        <w:rPr>
          <w:rFonts w:hint="eastAsia" w:ascii="宋体"/>
          <w:bCs/>
          <w:sz w:val="24"/>
          <w:u w:val="single"/>
        </w:rPr>
        <w:t xml:space="preserve">         </w:t>
      </w:r>
      <w:r>
        <w:rPr>
          <w:rFonts w:hint="eastAsia" w:ascii="宋体"/>
          <w:bCs/>
          <w:sz w:val="24"/>
        </w:rPr>
        <w:t>）的验收合格报告单支付（一般适用于合同金额5万美元以上）。</w:t>
      </w:r>
    </w:p>
    <w:p>
      <w:pPr>
        <w:spacing w:line="400" w:lineRule="exact"/>
        <w:rPr>
          <w:rFonts w:ascii="宋体"/>
          <w:bCs/>
          <w:sz w:val="24"/>
        </w:rPr>
      </w:pPr>
      <w:r>
        <w:rPr>
          <w:rFonts w:hint="eastAsia" w:ascii="宋体"/>
          <w:bCs/>
          <w:sz w:val="24"/>
        </w:rPr>
        <w:t>③90%货前T/T，10%货到验收合格后凭最终用户（嘉庚创新实验室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课题组）的验收合格报告单支付（合同金额较小，开具信用证不划算）。</w:t>
      </w:r>
    </w:p>
    <w:p>
      <w:pPr>
        <w:spacing w:line="400" w:lineRule="exact"/>
        <w:rPr>
          <w:rFonts w:ascii="宋体"/>
          <w:bCs/>
          <w:sz w:val="24"/>
        </w:rPr>
      </w:pPr>
      <w:r>
        <w:rPr>
          <w:rFonts w:hint="eastAsia" w:ascii="宋体" w:hAnsi="宋体"/>
          <w:bCs/>
          <w:sz w:val="24"/>
        </w:rPr>
        <w:t>④</w:t>
      </w:r>
      <w:r>
        <w:rPr>
          <w:rFonts w:hint="eastAsia" w:ascii="宋体"/>
          <w:bCs/>
          <w:sz w:val="24"/>
        </w:rPr>
        <w:t>包干价（特殊要求）</w:t>
      </w:r>
    </w:p>
    <w:p>
      <w:pPr>
        <w:spacing w:line="400" w:lineRule="exact"/>
        <w:rPr>
          <w:rFonts w:ascii="宋体"/>
          <w:bCs/>
          <w:sz w:val="24"/>
        </w:rPr>
      </w:pPr>
      <w:r>
        <w:rPr>
          <w:rFonts w:ascii="宋体"/>
          <w:bCs/>
          <w:sz w:val="24"/>
        </w:rPr>
        <w:fldChar w:fldCharType="begin"/>
      </w:r>
      <w:r>
        <w:rPr>
          <w:rFonts w:ascii="宋体"/>
          <w:bCs/>
          <w:sz w:val="24"/>
        </w:rPr>
        <w:instrText xml:space="preserve"> </w:instrText>
      </w:r>
      <w:r>
        <w:rPr>
          <w:rFonts w:hint="eastAsia" w:ascii="宋体"/>
          <w:bCs/>
          <w:sz w:val="24"/>
        </w:rPr>
        <w:instrText xml:space="preserve">= 5 \* GB3</w:instrText>
      </w:r>
      <w:r>
        <w:rPr>
          <w:rFonts w:ascii="宋体"/>
          <w:bCs/>
          <w:sz w:val="24"/>
        </w:rPr>
        <w:instrText xml:space="preserve"> </w:instrText>
      </w:r>
      <w:r>
        <w:rPr>
          <w:rFonts w:ascii="宋体"/>
          <w:bCs/>
          <w:sz w:val="24"/>
        </w:rPr>
        <w:fldChar w:fldCharType="separate"/>
      </w:r>
      <w:r>
        <w:rPr>
          <w:rFonts w:hint="eastAsia" w:ascii="宋体"/>
          <w:bCs/>
          <w:sz w:val="24"/>
        </w:rPr>
        <w:t>⑤</w:t>
      </w:r>
      <w:r>
        <w:rPr>
          <w:rFonts w:ascii="宋体"/>
          <w:bCs/>
          <w:sz w:val="24"/>
        </w:rPr>
        <w:fldChar w:fldCharType="end"/>
      </w:r>
      <w:r>
        <w:rPr>
          <w:rFonts w:hint="eastAsia" w:ascii="宋体"/>
          <w:bCs/>
          <w:sz w:val="24"/>
        </w:rPr>
        <w:t>100%货前T/T（个别公司特殊要求）</w:t>
      </w:r>
    </w:p>
    <w:p>
      <w:pPr>
        <w:spacing w:line="400" w:lineRule="exact"/>
        <w:rPr>
          <w:bCs/>
          <w:sz w:val="24"/>
        </w:rPr>
      </w:pPr>
      <w:r>
        <w:rPr>
          <w:rFonts w:hint="eastAsia" w:ascii="宋体"/>
          <w:bCs/>
          <w:sz w:val="24"/>
        </w:rPr>
        <w:t>6.</w:t>
      </w:r>
      <w:r>
        <w:rPr>
          <w:rFonts w:hint="eastAsia"/>
          <w:bCs/>
          <w:sz w:val="24"/>
        </w:rPr>
        <w:t>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rFonts w:ascii="宋体"/>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收到甲方通知7个工作日内组织安装调试，具备验收条件后，由组织验收，若仪器设备或配件数量缺少、技术资料不齐全、外观破损或者仪器性能达不到技术指标要求，应按以下方式理赔：</w:t>
      </w:r>
    </w:p>
    <w:p>
      <w:pPr>
        <w:spacing w:line="400" w:lineRule="exact"/>
        <w:rPr>
          <w:rFonts w:ascii="仿宋_GB2312" w:eastAsia="仿宋_GB2312"/>
          <w:sz w:val="32"/>
          <w:szCs w:val="32"/>
        </w:rPr>
      </w:pPr>
      <w:r>
        <w:rPr>
          <w:rFonts w:hint="eastAsia" w:ascii="宋体"/>
          <w:bCs/>
          <w:sz w:val="24"/>
        </w:rPr>
        <w:t>①乙方负责调换有瑕疵的货物或补足短缺。补货、换货必须全新，且满足原规格、质量和性能要求，乙方负担因此而产生的一切费用和买方遭受的一切直接损失。若更换调试6个月后仍验收不合格,在乙方采取上述救济措施的同时，甲方有权扣留尾款。</w:t>
      </w:r>
    </w:p>
    <w:p>
      <w:pPr>
        <w:spacing w:line="400" w:lineRule="exact"/>
        <w:rPr>
          <w:rFonts w:ascii="宋体"/>
          <w:bCs/>
          <w:sz w:val="24"/>
        </w:rPr>
      </w:pPr>
      <w:r>
        <w:rPr>
          <w:rFonts w:hint="eastAsia"/>
          <w:sz w:val="24"/>
        </w:rPr>
        <w:t>②</w:t>
      </w:r>
      <w:r>
        <w:rPr>
          <w:rFonts w:hint="eastAsia" w:ascii="宋体"/>
          <w:bCs/>
          <w:sz w:val="24"/>
        </w:rPr>
        <w:t>若乙方采取调换、补货、换货等措施后仍无法满足丙方需求的，甲方有权退货，乙方须将退货金额以成交原币偿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ind w:left="360" w:hanging="360"/>
        <w:jc w:val="left"/>
        <w:rPr>
          <w:rFonts w:ascii="宋体"/>
          <w:bCs/>
          <w:sz w:val="24"/>
        </w:rPr>
      </w:pPr>
      <w:r>
        <w:rPr>
          <w:rFonts w:hint="eastAsia" w:ascii="宋体"/>
          <w:bCs/>
          <w:sz w:val="24"/>
        </w:rPr>
        <w:t>①保修期限：以装机验收并经甲方签字确认之日起计，乙方对甲方购买的仪器保修时间为</w:t>
      </w:r>
      <w:r>
        <w:rPr>
          <w:rFonts w:hint="eastAsia" w:ascii="宋体"/>
          <w:bCs/>
          <w:sz w:val="24"/>
          <w:u w:val="single"/>
        </w:rPr>
        <w:t xml:space="preserve">    </w:t>
      </w:r>
      <w:r>
        <w:rPr>
          <w:rFonts w:hint="eastAsia" w:ascii="宋体"/>
          <w:bCs/>
          <w:sz w:val="24"/>
        </w:rPr>
        <w:t>年，保修期间，产品质量问题费用由乙方承担（人为损坏除外）。</w:t>
      </w:r>
    </w:p>
    <w:p>
      <w:pPr>
        <w:spacing w:line="400" w:lineRule="exact"/>
        <w:jc w:val="left"/>
        <w:rPr>
          <w:rFonts w:ascii="宋体"/>
          <w:bCs/>
          <w:sz w:val="24"/>
        </w:rPr>
      </w:pPr>
      <w:r>
        <w:rPr>
          <w:rFonts w:hint="eastAsia"/>
          <w:sz w:val="24"/>
        </w:rPr>
        <w:t>②</w:t>
      </w:r>
      <w:r>
        <w:rPr>
          <w:rFonts w:hint="eastAsia" w:ascii="宋体"/>
          <w:bCs/>
          <w:sz w:val="24"/>
        </w:rPr>
        <w:t>乙方负责免费提供现场仪器操作培训。</w:t>
      </w:r>
    </w:p>
    <w:p>
      <w:pPr>
        <w:spacing w:line="400" w:lineRule="exact"/>
        <w:jc w:val="left"/>
        <w:rPr>
          <w:rFonts w:ascii="宋体"/>
          <w:bCs/>
          <w:sz w:val="24"/>
        </w:rPr>
      </w:pPr>
      <w:r>
        <w:rPr>
          <w:rFonts w:hint="eastAsia" w:ascii="宋体"/>
          <w:bCs/>
          <w:sz w:val="24"/>
        </w:rPr>
        <w:t>③</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 违约责任和其它约定事项：双方协商。</w:t>
      </w:r>
    </w:p>
    <w:p>
      <w:pPr>
        <w:spacing w:line="400" w:lineRule="exact"/>
        <w:jc w:val="left"/>
        <w:rPr>
          <w:rFonts w:ascii="宋体"/>
          <w:bCs/>
          <w:sz w:val="24"/>
        </w:rPr>
      </w:pPr>
      <w:r>
        <w:rPr>
          <w:rFonts w:hint="eastAsia" w:ascii="宋体"/>
          <w:bCs/>
          <w:sz w:val="24"/>
        </w:rPr>
        <w:t>10.本协议壹式叁份，甲方两份、乙方壹份。</w:t>
      </w:r>
    </w:p>
    <w:tbl>
      <w:tblPr>
        <w:tblStyle w:val="13"/>
        <w:tblpPr w:leftFromText="180" w:rightFromText="180" w:vertAnchor="text" w:horzAnchor="margin" w:tblpY="1192"/>
        <w:tblW w:w="0" w:type="auto"/>
        <w:tblInd w:w="0" w:type="dxa"/>
        <w:tblLayout w:type="fixed"/>
        <w:tblCellMar>
          <w:top w:w="0" w:type="dxa"/>
          <w:left w:w="108" w:type="dxa"/>
          <w:bottom w:w="0" w:type="dxa"/>
          <w:right w:w="108" w:type="dxa"/>
        </w:tblCellMar>
      </w:tblPr>
      <w:tblGrid>
        <w:gridCol w:w="4608"/>
        <w:gridCol w:w="4500"/>
      </w:tblGrid>
      <w:tr>
        <w:tblPrEx>
          <w:tblCellMar>
            <w:top w:w="0" w:type="dxa"/>
            <w:left w:w="108" w:type="dxa"/>
            <w:bottom w:w="0" w:type="dxa"/>
            <w:right w:w="108" w:type="dxa"/>
          </w:tblCellMar>
        </w:tblPrEx>
        <w:trPr>
          <w:trHeight w:val="3738" w:hRule="atLeast"/>
        </w:trPr>
        <w:tc>
          <w:tcPr>
            <w:tcW w:w="4608" w:type="dxa"/>
          </w:tcPr>
          <w:p>
            <w:pPr>
              <w:spacing w:line="400" w:lineRule="exact"/>
              <w:rPr>
                <w:rFonts w:ascii="宋体"/>
                <w:bCs/>
                <w:sz w:val="24"/>
              </w:rPr>
            </w:pPr>
          </w:p>
          <w:p>
            <w:pPr>
              <w:spacing w:line="400" w:lineRule="exact"/>
              <w:rPr>
                <w:bCs/>
                <w:sz w:val="24"/>
              </w:rPr>
            </w:pPr>
            <w:r>
              <w:rPr>
                <w:rFonts w:hint="eastAsia" w:ascii="宋体"/>
                <w:bCs/>
                <w:sz w:val="24"/>
              </w:rPr>
              <w:t>甲方：</w:t>
            </w:r>
            <w:r>
              <w:rPr>
                <w:rFonts w:hint="eastAsia"/>
                <w:bCs/>
                <w:sz w:val="24"/>
              </w:rPr>
              <w:t>嘉庚创新实验室</w:t>
            </w:r>
          </w:p>
          <w:p>
            <w:pPr>
              <w:spacing w:line="400" w:lineRule="exact"/>
              <w:rPr>
                <w:rFonts w:ascii="宋体"/>
                <w:bCs/>
                <w:sz w:val="24"/>
              </w:rPr>
            </w:pPr>
            <w:r>
              <w:rPr>
                <w:rFonts w:hint="eastAsia" w:ascii="宋体"/>
                <w:bCs/>
                <w:sz w:val="24"/>
              </w:rPr>
              <w:t>地址：福建省厦门市</w:t>
            </w:r>
          </w:p>
          <w:p>
            <w:pPr>
              <w:spacing w:line="400" w:lineRule="exact"/>
              <w:rPr>
                <w:rFonts w:ascii="宋体"/>
                <w:bCs/>
                <w:sz w:val="24"/>
              </w:rPr>
            </w:pPr>
            <w:r>
              <w:rPr>
                <w:rFonts w:hint="eastAsia" w:ascii="宋体"/>
                <w:bCs/>
                <w:sz w:val="24"/>
              </w:rPr>
              <w:t>签约代表：</w:t>
            </w:r>
          </w:p>
          <w:p>
            <w:pPr>
              <w:spacing w:line="400" w:lineRule="exact"/>
              <w:rPr>
                <w:rFonts w:ascii="宋体"/>
                <w:bCs/>
                <w:sz w:val="24"/>
              </w:rPr>
            </w:pPr>
            <w:r>
              <w:rPr>
                <w:rFonts w:hint="eastAsia" w:ascii="宋体"/>
                <w:bCs/>
                <w:sz w:val="24"/>
              </w:rPr>
              <w:t>用户代表人：</w:t>
            </w:r>
          </w:p>
          <w:p>
            <w:pPr>
              <w:spacing w:line="400" w:lineRule="exact"/>
              <w:rPr>
                <w:rFonts w:ascii="宋体"/>
                <w:bCs/>
                <w:sz w:val="24"/>
              </w:rPr>
            </w:pPr>
            <w:r>
              <w:rPr>
                <w:rFonts w:hint="eastAsia" w:ascii="宋体"/>
                <w:bCs/>
                <w:sz w:val="24"/>
              </w:rPr>
              <w:t>电话：</w:t>
            </w:r>
          </w:p>
          <w:p>
            <w:pPr>
              <w:spacing w:line="400" w:lineRule="exact"/>
              <w:ind w:left="-78"/>
              <w:rPr>
                <w:rFonts w:ascii="宋体"/>
                <w:bCs/>
                <w:sz w:val="24"/>
              </w:rPr>
            </w:pPr>
            <w:r>
              <w:rPr>
                <w:rFonts w:hint="eastAsia" w:ascii="宋体"/>
                <w:bCs/>
                <w:sz w:val="24"/>
              </w:rPr>
              <w:t>日期：</w:t>
            </w:r>
          </w:p>
          <w:p>
            <w:pPr>
              <w:spacing w:line="400" w:lineRule="exact"/>
              <w:ind w:left="-78"/>
              <w:rPr>
                <w:rFonts w:ascii="宋体"/>
                <w:bCs/>
                <w:sz w:val="24"/>
              </w:rPr>
            </w:pPr>
          </w:p>
          <w:p>
            <w:pPr>
              <w:spacing w:line="400" w:lineRule="exact"/>
              <w:ind w:left="-78"/>
              <w:rPr>
                <w:rFonts w:ascii="宋体"/>
                <w:bCs/>
                <w:sz w:val="24"/>
              </w:rPr>
            </w:pPr>
          </w:p>
          <w:p>
            <w:pPr>
              <w:spacing w:line="400" w:lineRule="exact"/>
              <w:ind w:left="-78"/>
              <w:rPr>
                <w:rFonts w:ascii="宋体"/>
                <w:bCs/>
                <w:sz w:val="24"/>
              </w:rPr>
            </w:pPr>
          </w:p>
          <w:p>
            <w:pPr>
              <w:spacing w:line="400" w:lineRule="exact"/>
              <w:ind w:left="-78" w:leftChars="-37" w:firstLine="120" w:firstLineChars="50"/>
              <w:rPr>
                <w:rFonts w:ascii="宋体"/>
                <w:bCs/>
                <w:sz w:val="24"/>
              </w:rPr>
            </w:pPr>
          </w:p>
          <w:p>
            <w:pPr>
              <w:spacing w:line="400" w:lineRule="exact"/>
              <w:ind w:left="-78" w:leftChars="-37" w:firstLine="120" w:firstLineChars="50"/>
              <w:rPr>
                <w:rFonts w:ascii="宋体"/>
                <w:bCs/>
                <w:sz w:val="24"/>
              </w:rPr>
            </w:pPr>
          </w:p>
          <w:p>
            <w:pPr>
              <w:spacing w:line="400" w:lineRule="exact"/>
              <w:rPr>
                <w:rFonts w:ascii="宋体"/>
                <w:bCs/>
                <w:sz w:val="24"/>
              </w:rPr>
            </w:pPr>
          </w:p>
        </w:tc>
        <w:tc>
          <w:tcPr>
            <w:tcW w:w="4500" w:type="dxa"/>
          </w:tcPr>
          <w:p>
            <w:pPr>
              <w:spacing w:line="400" w:lineRule="exact"/>
              <w:rPr>
                <w:rFonts w:ascii="宋体"/>
                <w:bCs/>
                <w:sz w:val="24"/>
              </w:rPr>
            </w:pPr>
          </w:p>
          <w:p>
            <w:pPr>
              <w:spacing w:line="400" w:lineRule="exact"/>
              <w:ind w:left="-78"/>
              <w:rPr>
                <w:rFonts w:ascii="宋体"/>
                <w:bCs/>
                <w:sz w:val="24"/>
              </w:rPr>
            </w:pPr>
            <w:r>
              <w:rPr>
                <w:rFonts w:hint="eastAsia" w:ascii="宋体"/>
                <w:bCs/>
                <w:sz w:val="24"/>
              </w:rPr>
              <w:t>乙方：</w:t>
            </w:r>
            <w:r>
              <w:rPr>
                <w:rFonts w:ascii="宋体"/>
                <w:bCs/>
                <w:sz w:val="24"/>
              </w:rPr>
              <w:t xml:space="preserve"> </w:t>
            </w:r>
          </w:p>
          <w:p>
            <w:pPr>
              <w:spacing w:line="400" w:lineRule="exact"/>
              <w:ind w:left="642" w:leftChars="-37" w:hanging="720" w:hangingChars="300"/>
              <w:rPr>
                <w:rFonts w:ascii="宋体"/>
                <w:bCs/>
                <w:sz w:val="24"/>
              </w:rPr>
            </w:pPr>
            <w:r>
              <w:rPr>
                <w:rFonts w:hint="eastAsia" w:ascii="宋体"/>
                <w:bCs/>
                <w:sz w:val="24"/>
              </w:rPr>
              <w:t>地址：</w:t>
            </w:r>
          </w:p>
          <w:p>
            <w:pPr>
              <w:spacing w:line="400" w:lineRule="exact"/>
              <w:ind w:left="-78"/>
              <w:rPr>
                <w:rFonts w:ascii="宋体"/>
                <w:bCs/>
                <w:sz w:val="24"/>
              </w:rPr>
            </w:pPr>
            <w:r>
              <w:rPr>
                <w:rFonts w:hint="eastAsia" w:ascii="宋体"/>
                <w:bCs/>
                <w:sz w:val="24"/>
              </w:rPr>
              <w:t>法定代表人：</w:t>
            </w:r>
          </w:p>
          <w:p>
            <w:pPr>
              <w:spacing w:line="400" w:lineRule="exact"/>
              <w:ind w:left="-78"/>
              <w:rPr>
                <w:rFonts w:ascii="宋体"/>
                <w:bCs/>
                <w:sz w:val="24"/>
              </w:rPr>
            </w:pPr>
            <w:r>
              <w:rPr>
                <w:rFonts w:hint="eastAsia" w:ascii="宋体"/>
                <w:bCs/>
                <w:sz w:val="24"/>
              </w:rPr>
              <w:t>委托代表人：</w:t>
            </w:r>
          </w:p>
          <w:p>
            <w:pPr>
              <w:spacing w:line="400" w:lineRule="exact"/>
              <w:ind w:left="-78"/>
              <w:rPr>
                <w:rFonts w:ascii="宋体"/>
                <w:bCs/>
                <w:sz w:val="24"/>
              </w:rPr>
            </w:pPr>
            <w:r>
              <w:rPr>
                <w:rFonts w:hint="eastAsia" w:ascii="宋体"/>
                <w:bCs/>
                <w:sz w:val="24"/>
              </w:rPr>
              <w:t>电话：</w:t>
            </w:r>
          </w:p>
          <w:p>
            <w:pPr>
              <w:spacing w:line="400" w:lineRule="exact"/>
              <w:ind w:left="-78"/>
              <w:rPr>
                <w:rFonts w:ascii="宋体"/>
                <w:bCs/>
                <w:sz w:val="24"/>
              </w:rPr>
            </w:pPr>
            <w:r>
              <w:rPr>
                <w:rFonts w:hint="eastAsia" w:ascii="宋体"/>
                <w:bCs/>
                <w:sz w:val="24"/>
              </w:rPr>
              <w:t>传真：</w:t>
            </w:r>
          </w:p>
          <w:p>
            <w:pPr>
              <w:spacing w:line="400" w:lineRule="exact"/>
              <w:ind w:left="-78"/>
              <w:rPr>
                <w:rFonts w:ascii="宋体"/>
                <w:bCs/>
                <w:sz w:val="24"/>
              </w:rPr>
            </w:pPr>
            <w:r>
              <w:rPr>
                <w:rFonts w:hint="eastAsia" w:ascii="宋体"/>
                <w:bCs/>
                <w:sz w:val="24"/>
              </w:rPr>
              <w:t>日期：</w:t>
            </w:r>
          </w:p>
        </w:tc>
      </w:tr>
    </w:tbl>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jc w:val="left"/>
        <w:rPr>
          <w:color w:val="000000"/>
          <w:kern w:val="0"/>
          <w:sz w:val="24"/>
        </w:rPr>
      </w:pPr>
      <w:r>
        <w:rPr>
          <w:rFonts w:hint="eastAsia"/>
          <w:sz w:val="24"/>
        </w:rPr>
        <w:t>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A32337C"/>
    <w:multiLevelType w:val="multilevel"/>
    <w:tmpl w:val="1A3233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A912B2D"/>
    <w:multiLevelType w:val="multilevel"/>
    <w:tmpl w:val="5A912B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83049B"/>
    <w:multiLevelType w:val="multilevel"/>
    <w:tmpl w:val="5B8304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8"/>
  </w:num>
  <w:num w:numId="2">
    <w:abstractNumId w:val="9"/>
  </w:num>
  <w:num w:numId="3">
    <w:abstractNumId w:val="7"/>
  </w:num>
  <w:num w:numId="4">
    <w:abstractNumId w:val="10"/>
  </w:num>
  <w:num w:numId="5">
    <w:abstractNumId w:val="6"/>
  </w:num>
  <w:num w:numId="6">
    <w:abstractNumId w:val="11"/>
  </w:num>
  <w:num w:numId="7">
    <w:abstractNumId w:val="12"/>
  </w:num>
  <w:num w:numId="8">
    <w:abstractNumId w:val="5"/>
  </w:num>
  <w:num w:numId="9">
    <w:abstractNumId w:val="3"/>
  </w:num>
  <w:num w:numId="10">
    <w:abstractNumId w:val="2"/>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4651D"/>
    <w:rsid w:val="000579F2"/>
    <w:rsid w:val="0007006A"/>
    <w:rsid w:val="00080244"/>
    <w:rsid w:val="000A473E"/>
    <w:rsid w:val="000D16EE"/>
    <w:rsid w:val="000F3864"/>
    <w:rsid w:val="00111B2D"/>
    <w:rsid w:val="00121EEE"/>
    <w:rsid w:val="00122FF6"/>
    <w:rsid w:val="00125724"/>
    <w:rsid w:val="0012737B"/>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169BD"/>
    <w:rsid w:val="00221BBE"/>
    <w:rsid w:val="002525A9"/>
    <w:rsid w:val="002577C3"/>
    <w:rsid w:val="00271E4F"/>
    <w:rsid w:val="00273AF1"/>
    <w:rsid w:val="002B342F"/>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65B46"/>
    <w:rsid w:val="00466E9E"/>
    <w:rsid w:val="00487CD7"/>
    <w:rsid w:val="0049546C"/>
    <w:rsid w:val="0049634B"/>
    <w:rsid w:val="004C7976"/>
    <w:rsid w:val="004F204B"/>
    <w:rsid w:val="004F2137"/>
    <w:rsid w:val="004F6387"/>
    <w:rsid w:val="004F63B0"/>
    <w:rsid w:val="00501B15"/>
    <w:rsid w:val="0050790C"/>
    <w:rsid w:val="00515C0E"/>
    <w:rsid w:val="00532ADF"/>
    <w:rsid w:val="005504EB"/>
    <w:rsid w:val="005605A7"/>
    <w:rsid w:val="00592E5C"/>
    <w:rsid w:val="00596EFC"/>
    <w:rsid w:val="005D0327"/>
    <w:rsid w:val="005D24EF"/>
    <w:rsid w:val="005E39D7"/>
    <w:rsid w:val="005E4E56"/>
    <w:rsid w:val="0060125A"/>
    <w:rsid w:val="00607AB4"/>
    <w:rsid w:val="006216EC"/>
    <w:rsid w:val="0063407B"/>
    <w:rsid w:val="00635185"/>
    <w:rsid w:val="00654D85"/>
    <w:rsid w:val="006600C4"/>
    <w:rsid w:val="00666B09"/>
    <w:rsid w:val="006728FA"/>
    <w:rsid w:val="006729E0"/>
    <w:rsid w:val="006736FB"/>
    <w:rsid w:val="00675A1F"/>
    <w:rsid w:val="00685851"/>
    <w:rsid w:val="006B03C3"/>
    <w:rsid w:val="006C10E2"/>
    <w:rsid w:val="006C7A9B"/>
    <w:rsid w:val="006D1705"/>
    <w:rsid w:val="006D2394"/>
    <w:rsid w:val="006D5CCA"/>
    <w:rsid w:val="006F1BDE"/>
    <w:rsid w:val="007239BC"/>
    <w:rsid w:val="00724054"/>
    <w:rsid w:val="00733CD5"/>
    <w:rsid w:val="00743B1F"/>
    <w:rsid w:val="00756C6B"/>
    <w:rsid w:val="00771BD5"/>
    <w:rsid w:val="00773419"/>
    <w:rsid w:val="00786041"/>
    <w:rsid w:val="007B6902"/>
    <w:rsid w:val="007F060F"/>
    <w:rsid w:val="00807078"/>
    <w:rsid w:val="00825E4C"/>
    <w:rsid w:val="00830CBA"/>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968D0"/>
    <w:rsid w:val="009A147A"/>
    <w:rsid w:val="009A21E0"/>
    <w:rsid w:val="009B120D"/>
    <w:rsid w:val="009B24A1"/>
    <w:rsid w:val="009B2FE6"/>
    <w:rsid w:val="009B6E4A"/>
    <w:rsid w:val="009E4FB8"/>
    <w:rsid w:val="009E6E2A"/>
    <w:rsid w:val="00A01309"/>
    <w:rsid w:val="00A20425"/>
    <w:rsid w:val="00A33A9C"/>
    <w:rsid w:val="00A344A9"/>
    <w:rsid w:val="00A4035C"/>
    <w:rsid w:val="00A40C44"/>
    <w:rsid w:val="00A41853"/>
    <w:rsid w:val="00A47D6B"/>
    <w:rsid w:val="00A51BCE"/>
    <w:rsid w:val="00A531ED"/>
    <w:rsid w:val="00A57693"/>
    <w:rsid w:val="00A57D1E"/>
    <w:rsid w:val="00A66A3F"/>
    <w:rsid w:val="00A70486"/>
    <w:rsid w:val="00A76D5B"/>
    <w:rsid w:val="00A84F6C"/>
    <w:rsid w:val="00A94B96"/>
    <w:rsid w:val="00A9547E"/>
    <w:rsid w:val="00AB32FA"/>
    <w:rsid w:val="00AC61FD"/>
    <w:rsid w:val="00AE539C"/>
    <w:rsid w:val="00AE5D17"/>
    <w:rsid w:val="00AF6147"/>
    <w:rsid w:val="00B2170A"/>
    <w:rsid w:val="00B25784"/>
    <w:rsid w:val="00B41D53"/>
    <w:rsid w:val="00B45252"/>
    <w:rsid w:val="00B777BC"/>
    <w:rsid w:val="00BE4315"/>
    <w:rsid w:val="00BE6DDD"/>
    <w:rsid w:val="00C21064"/>
    <w:rsid w:val="00C3212D"/>
    <w:rsid w:val="00C331B9"/>
    <w:rsid w:val="00C37374"/>
    <w:rsid w:val="00C44E8E"/>
    <w:rsid w:val="00C574EF"/>
    <w:rsid w:val="00C57FE6"/>
    <w:rsid w:val="00C66E8D"/>
    <w:rsid w:val="00C92A0F"/>
    <w:rsid w:val="00CF7445"/>
    <w:rsid w:val="00D219A2"/>
    <w:rsid w:val="00D2251F"/>
    <w:rsid w:val="00D26206"/>
    <w:rsid w:val="00D2792E"/>
    <w:rsid w:val="00D33772"/>
    <w:rsid w:val="00D54DBB"/>
    <w:rsid w:val="00D81E10"/>
    <w:rsid w:val="00D8413C"/>
    <w:rsid w:val="00D862E1"/>
    <w:rsid w:val="00D92252"/>
    <w:rsid w:val="00D951AF"/>
    <w:rsid w:val="00DA02B5"/>
    <w:rsid w:val="00DC3E6C"/>
    <w:rsid w:val="00DD0133"/>
    <w:rsid w:val="00DF3EDC"/>
    <w:rsid w:val="00E17D65"/>
    <w:rsid w:val="00E352C8"/>
    <w:rsid w:val="00E374FB"/>
    <w:rsid w:val="00E428EC"/>
    <w:rsid w:val="00E57DF0"/>
    <w:rsid w:val="00E61D50"/>
    <w:rsid w:val="00E758C5"/>
    <w:rsid w:val="00EA7473"/>
    <w:rsid w:val="00EB651E"/>
    <w:rsid w:val="00EC6923"/>
    <w:rsid w:val="00EE17BD"/>
    <w:rsid w:val="00EE1B72"/>
    <w:rsid w:val="00EE574B"/>
    <w:rsid w:val="00EE7C8F"/>
    <w:rsid w:val="00EF6FE7"/>
    <w:rsid w:val="00F05F86"/>
    <w:rsid w:val="00F072CB"/>
    <w:rsid w:val="00F32034"/>
    <w:rsid w:val="00F36EEC"/>
    <w:rsid w:val="00F7697C"/>
    <w:rsid w:val="00F86D5A"/>
    <w:rsid w:val="00FA1F35"/>
    <w:rsid w:val="00FA57DF"/>
    <w:rsid w:val="00FB74D8"/>
    <w:rsid w:val="00FC100A"/>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3B52784"/>
    <w:rsid w:val="148063F3"/>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951676"/>
    <w:rsid w:val="2ACB3570"/>
    <w:rsid w:val="2ADA0F0C"/>
    <w:rsid w:val="2D126148"/>
    <w:rsid w:val="2DA57A2F"/>
    <w:rsid w:val="2DAD563E"/>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2B14C4"/>
    <w:rsid w:val="3E357A0D"/>
    <w:rsid w:val="40EF77EF"/>
    <w:rsid w:val="429E1865"/>
    <w:rsid w:val="43884D1D"/>
    <w:rsid w:val="43E942BE"/>
    <w:rsid w:val="43F57D28"/>
    <w:rsid w:val="441473E3"/>
    <w:rsid w:val="475F0670"/>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5F3C414D"/>
    <w:rsid w:val="61264F5A"/>
    <w:rsid w:val="62170FA9"/>
    <w:rsid w:val="65665DBA"/>
    <w:rsid w:val="65B91FD2"/>
    <w:rsid w:val="67590123"/>
    <w:rsid w:val="680E59AE"/>
    <w:rsid w:val="6938735F"/>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BB17E4"/>
    <w:rsid w:val="7B314244"/>
    <w:rsid w:val="7C127361"/>
    <w:rsid w:val="7CB04D3C"/>
    <w:rsid w:val="7CF65263"/>
    <w:rsid w:val="7D0E77C9"/>
    <w:rsid w:val="7D2C6D3F"/>
    <w:rsid w:val="7D9020B2"/>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E745A-EF7B-4B45-8184-D9A1F43AA1B4}">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29</Pages>
  <Words>2160</Words>
  <Characters>12318</Characters>
  <Lines>102</Lines>
  <Paragraphs>28</Paragraphs>
  <TotalTime>33</TotalTime>
  <ScaleCrop>false</ScaleCrop>
  <LinksUpToDate>false</LinksUpToDate>
  <CharactersWithSpaces>14450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2021-12-28T01:30:00Z</dcterms:created>
  <dc:creator>朱水林</dc:creator>
  <cp:lastModifiedBy>红日初升</cp:lastModifiedBy>
  <dcterms:modified xsi:type="dcterms:W3CDTF">2021-12-31T03:11:07Z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B461FF7772CC4731AC1CECDC6A7C28F3</vt:lpwstr>
  </property>
</Properties>
</file>